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011" w:rsidRPr="00C169DB" w:rsidRDefault="007915EB">
      <w:pPr>
        <w:rPr>
          <w:rFonts w:ascii="TitilliumText25L" w:hAnsi="TitilliumText25L"/>
        </w:rPr>
      </w:pPr>
      <w:r w:rsidRPr="00C169DB">
        <w:rPr>
          <w:rFonts w:ascii="TitilliumText25L" w:eastAsiaTheme="minorHAnsi" w:hAnsi="TitilliumText25L" w:cstheme="minorBidi"/>
          <w:noProof/>
          <w:lang w:eastAsia="en-AU"/>
        </w:rPr>
        <mc:AlternateContent>
          <mc:Choice Requires="wps">
            <w:drawing>
              <wp:anchor distT="0" distB="0" distL="114300" distR="114300" simplePos="0" relativeHeight="251668480" behindDoc="0" locked="0" layoutInCell="1" allowOverlap="1" wp14:anchorId="56067F76" wp14:editId="5254A57D">
                <wp:simplePos x="0" y="0"/>
                <wp:positionH relativeFrom="column">
                  <wp:posOffset>-536575</wp:posOffset>
                </wp:positionH>
                <wp:positionV relativeFrom="paragraph">
                  <wp:posOffset>2981960</wp:posOffset>
                </wp:positionV>
                <wp:extent cx="2844800" cy="194119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844800" cy="1941195"/>
                        </a:xfrm>
                        <a:prstGeom prst="rect">
                          <a:avLst/>
                        </a:prstGeom>
                        <a:noFill/>
                        <a:ln w="6350">
                          <a:noFill/>
                        </a:ln>
                        <a:effectLst/>
                      </wps:spPr>
                      <wps:txbx>
                        <w:txbxContent>
                          <w:p w:rsidR="00A063F4" w:rsidRPr="00A356BB" w:rsidRDefault="00A063F4" w:rsidP="00DD0011">
                            <w:pPr>
                              <w:rPr>
                                <w:rFonts w:ascii="TitilliumText25L" w:hAnsi="TitilliumText25L"/>
                                <w:sz w:val="56"/>
                                <w:szCs w:val="56"/>
                              </w:rPr>
                            </w:pPr>
                            <w:r w:rsidRPr="00A356BB">
                              <w:rPr>
                                <w:rFonts w:ascii="TitilliumText25L" w:hAnsi="TitilliumText25L"/>
                                <w:sz w:val="56"/>
                                <w:szCs w:val="56"/>
                              </w:rPr>
                              <w:t>SINGLE UNIT TRANSFUSION GUIDE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2.25pt;margin-top:234.8pt;width:224pt;height:15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" filled="f" stroked="f" strokeweight=".5pt">
                <v:textbox>
                  <w:txbxContent>
                    <w:p w:rsidR="00A063F4" w:rsidRPr="00A356BB" w:rsidRDefault="00A063F4" w:rsidP="00DD0011">
                      <w:pPr>
                        <w:rPr>
                          <w:rFonts w:ascii="TitilliumText25L" w:hAnsi="TitilliumText25L"/>
                          <w:sz w:val="56"/>
                          <w:szCs w:val="56"/>
                        </w:rPr>
                      </w:pPr>
                      <w:r w:rsidRPr="00A356BB">
                        <w:rPr>
                          <w:rFonts w:ascii="TitilliumText25L" w:hAnsi="TitilliumText25L"/>
                          <w:sz w:val="56"/>
                          <w:szCs w:val="56"/>
                        </w:rPr>
                        <w:t>SINGLE UNIT TRANSFUSION GUIDE SUMMARY</w:t>
                      </w:r>
                    </w:p>
                  </w:txbxContent>
                </v:textbox>
              </v:shape>
            </w:pict>
          </mc:Fallback>
        </mc:AlternateContent>
      </w:r>
      <w:r w:rsidR="00E76F34" w:rsidRPr="00C169DB">
        <w:rPr>
          <w:rFonts w:ascii="TitilliumText25L" w:eastAsiaTheme="minorHAnsi" w:hAnsi="TitilliumText25L" w:cstheme="minorBidi"/>
          <w:noProof/>
          <w:lang w:eastAsia="en-AU"/>
        </w:rPr>
        <mc:AlternateContent>
          <mc:Choice Requires="wps">
            <w:drawing>
              <wp:anchor distT="0" distB="0" distL="114300" distR="114300" simplePos="0" relativeHeight="251666432" behindDoc="0" locked="0" layoutInCell="1" allowOverlap="1" wp14:anchorId="145D7B2A" wp14:editId="614AAA0F">
                <wp:simplePos x="0" y="0"/>
                <wp:positionH relativeFrom="column">
                  <wp:posOffset>-537210</wp:posOffset>
                </wp:positionH>
                <wp:positionV relativeFrom="paragraph">
                  <wp:posOffset>6310972</wp:posOffset>
                </wp:positionV>
                <wp:extent cx="2568575"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8575" cy="457200"/>
                        </a:xfrm>
                        <a:prstGeom prst="rect">
                          <a:avLst/>
                        </a:prstGeom>
                        <a:noFill/>
                        <a:ln w="6350">
                          <a:noFill/>
                        </a:ln>
                        <a:effectLst/>
                      </wps:spPr>
                      <wps:txbx>
                        <w:txbxContent>
                          <w:p w:rsidR="00A063F4" w:rsidRPr="00E76F34" w:rsidRDefault="00A063F4" w:rsidP="00DD0011">
                            <w:pPr>
                              <w:spacing w:after="0"/>
                              <w:rPr>
                                <w:rFonts w:ascii="TitilliumText25L" w:hAnsi="TitilliumText25L"/>
                                <w:b/>
                                <w:color w:val="FFFFFF" w:themeColor="background1"/>
                                <w:sz w:val="40"/>
                                <w:szCs w:val="40"/>
                              </w:rPr>
                            </w:pPr>
                            <w:r w:rsidRPr="00E76F34">
                              <w:rPr>
                                <w:rFonts w:ascii="TitilliumText25L" w:hAnsi="TitilliumText25L"/>
                                <w:b/>
                                <w:color w:val="FFFFFF" w:themeColor="background1"/>
                                <w:sz w:val="40"/>
                                <w:szCs w:val="40"/>
                              </w:rPr>
                              <w:t>JUNE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2.3pt;margin-top:496.95pt;width:202.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" filled="f" stroked="f" strokeweight=".5pt">
                <v:textbox>
                  <w:txbxContent>
                    <w:p w:rsidR="00A063F4" w:rsidRPr="00E76F34" w:rsidRDefault="00A063F4" w:rsidP="00DD0011">
                      <w:pPr>
                        <w:spacing w:after="0"/>
                        <w:rPr>
                          <w:rFonts w:ascii="TitilliumText25L" w:hAnsi="TitilliumText25L"/>
                          <w:b/>
                          <w:color w:val="FFFFFF" w:themeColor="background1"/>
                          <w:sz w:val="40"/>
                          <w:szCs w:val="40"/>
                        </w:rPr>
                      </w:pPr>
                      <w:r w:rsidRPr="00E76F34">
                        <w:rPr>
                          <w:rFonts w:ascii="TitilliumText25L" w:hAnsi="TitilliumText25L"/>
                          <w:b/>
                          <w:color w:val="FFFFFF" w:themeColor="background1"/>
                          <w:sz w:val="40"/>
                          <w:szCs w:val="40"/>
                        </w:rPr>
                        <w:t>JUNE 2014</w:t>
                      </w:r>
                    </w:p>
                  </w:txbxContent>
                </v:textbox>
              </v:shape>
            </w:pict>
          </mc:Fallback>
        </mc:AlternateContent>
      </w:r>
      <w:r w:rsidR="00E76F34" w:rsidRPr="00C169DB">
        <w:rPr>
          <w:rFonts w:ascii="TitilliumText25L" w:hAnsi="TitilliumText25L"/>
          <w:noProof/>
          <w:color w:val="FFFFFF" w:themeColor="background1"/>
          <w:lang w:eastAsia="en-AU"/>
        </w:rPr>
        <mc:AlternateContent>
          <mc:Choice Requires="wps">
            <w:drawing>
              <wp:anchor distT="0" distB="0" distL="114300" distR="114300" simplePos="0" relativeHeight="251670528" behindDoc="0" locked="0" layoutInCell="1" allowOverlap="1" wp14:anchorId="086AFD4F" wp14:editId="0B847CD8">
                <wp:simplePos x="0" y="0"/>
                <wp:positionH relativeFrom="column">
                  <wp:posOffset>-914400</wp:posOffset>
                </wp:positionH>
                <wp:positionV relativeFrom="paragraph">
                  <wp:posOffset>5225415</wp:posOffset>
                </wp:positionV>
                <wp:extent cx="4729480" cy="588645"/>
                <wp:effectExtent l="0" t="0" r="0" b="1905"/>
                <wp:wrapNone/>
                <wp:docPr id="6" name="Rectangle 6"/>
                <wp:cNvGraphicFramePr/>
                <a:graphic xmlns:a="http://schemas.openxmlformats.org/drawingml/2006/main">
                  <a:graphicData uri="http://schemas.microsoft.com/office/word/2010/wordprocessingShape">
                    <wps:wsp>
                      <wps:cNvSpPr/>
                      <wps:spPr>
                        <a:xfrm>
                          <a:off x="0" y="0"/>
                          <a:ext cx="4729480" cy="588645"/>
                        </a:xfrm>
                        <a:prstGeom prst="rect">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in;margin-top:411.45pt;width:372.4pt;height:4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" fillcolor="black [3213]" stroked="f" strokeweight="2pt"/>
            </w:pict>
          </mc:Fallback>
        </mc:AlternateContent>
      </w:r>
      <w:r w:rsidR="00E76F34" w:rsidRPr="00C169DB">
        <w:rPr>
          <w:rFonts w:ascii="TitilliumText25L" w:hAnsi="TitilliumText25L"/>
          <w:noProof/>
          <w:color w:val="FFFFFF" w:themeColor="background1"/>
          <w:lang w:eastAsia="en-AU"/>
        </w:rPr>
        <mc:AlternateContent>
          <mc:Choice Requires="wps">
            <w:drawing>
              <wp:anchor distT="0" distB="0" distL="114300" distR="114300" simplePos="0" relativeHeight="251671552" behindDoc="0" locked="0" layoutInCell="1" allowOverlap="1" wp14:anchorId="74B62655" wp14:editId="0AE9901B">
                <wp:simplePos x="0" y="0"/>
                <wp:positionH relativeFrom="column">
                  <wp:posOffset>-668655</wp:posOffset>
                </wp:positionH>
                <wp:positionV relativeFrom="paragraph">
                  <wp:posOffset>5304155</wp:posOffset>
                </wp:positionV>
                <wp:extent cx="4483735" cy="4114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4483735"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63F4" w:rsidRPr="00E76F34" w:rsidRDefault="00A063F4">
                            <w:pPr>
                              <w:rPr>
                                <w:rFonts w:ascii="TitilliumText25L" w:hAnsi="TitilliumText25L"/>
                                <w:color w:val="FFFFFF" w:themeColor="background1"/>
                                <w:sz w:val="36"/>
                                <w:szCs w:val="36"/>
                              </w:rPr>
                            </w:pPr>
                            <w:r w:rsidRPr="00E76F34">
                              <w:rPr>
                                <w:rFonts w:ascii="TitilliumText25L" w:hAnsi="TitilliumText25L"/>
                                <w:color w:val="FFFFFF" w:themeColor="background1"/>
                                <w:sz w:val="36"/>
                                <w:szCs w:val="36"/>
                              </w:rPr>
                              <w:t>Guidance for Australian Health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2.65pt;margin-top:417.65pt;width:353.05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" filled="f" stroked="f" strokeweight=".5pt">
                <v:textbox>
                  <w:txbxContent>
                    <w:p w:rsidR="00A063F4" w:rsidRPr="00E76F34" w:rsidRDefault="00A063F4">
                      <w:pPr>
                        <w:rPr>
                          <w:rFonts w:ascii="TitilliumText25L" w:hAnsi="TitilliumText25L"/>
                          <w:color w:val="FFFFFF" w:themeColor="background1"/>
                          <w:sz w:val="36"/>
                          <w:szCs w:val="36"/>
                        </w:rPr>
                      </w:pPr>
                      <w:r w:rsidRPr="00E76F34">
                        <w:rPr>
                          <w:rFonts w:ascii="TitilliumText25L" w:hAnsi="TitilliumText25L"/>
                          <w:color w:val="FFFFFF" w:themeColor="background1"/>
                          <w:sz w:val="36"/>
                          <w:szCs w:val="36"/>
                        </w:rPr>
                        <w:t>Guidance for Australian Health Providers</w:t>
                      </w:r>
                    </w:p>
                  </w:txbxContent>
                </v:textbox>
              </v:shape>
            </w:pict>
          </mc:Fallback>
        </mc:AlternateContent>
      </w:r>
      <w:r w:rsidR="00484641" w:rsidRPr="00C169DB">
        <w:rPr>
          <w:rFonts w:ascii="TitilliumText25L" w:hAnsi="TitilliumText25L"/>
          <w:noProof/>
          <w:lang w:eastAsia="en-AU"/>
        </w:rPr>
        <w:drawing>
          <wp:anchor distT="0" distB="0" distL="114300" distR="114300" simplePos="0" relativeHeight="251664384" behindDoc="1" locked="0" layoutInCell="1" allowOverlap="1" wp14:anchorId="3D4A0DA3" wp14:editId="5CF9F809">
            <wp:simplePos x="0" y="0"/>
            <wp:positionH relativeFrom="column">
              <wp:posOffset>-914400</wp:posOffset>
            </wp:positionH>
            <wp:positionV relativeFrom="paragraph">
              <wp:posOffset>-633730</wp:posOffset>
            </wp:positionV>
            <wp:extent cx="7560945" cy="10686415"/>
            <wp:effectExtent l="0" t="0" r="1905" b="635"/>
            <wp:wrapThrough wrapText="bothSides">
              <wp:wrapPolygon edited="0">
                <wp:start x="0" y="0"/>
                <wp:lineTo x="0" y="21563"/>
                <wp:lineTo x="21551" y="21563"/>
                <wp:lineTo x="215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s3.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686415"/>
                    </a:xfrm>
                    <a:prstGeom prst="rect">
                      <a:avLst/>
                    </a:prstGeom>
                  </pic:spPr>
                </pic:pic>
              </a:graphicData>
            </a:graphic>
            <wp14:sizeRelH relativeFrom="page">
              <wp14:pctWidth>0</wp14:pctWidth>
            </wp14:sizeRelH>
            <wp14:sizeRelV relativeFrom="page">
              <wp14:pctHeight>0</wp14:pctHeight>
            </wp14:sizeRelV>
          </wp:anchor>
        </w:drawing>
      </w:r>
      <w:r w:rsidR="00DD0011" w:rsidRPr="00C169DB">
        <w:rPr>
          <w:rFonts w:ascii="TitilliumText25L" w:hAnsi="TitilliumText25L"/>
        </w:rPr>
        <w:br w:type="page"/>
      </w:r>
    </w:p>
    <w:tbl>
      <w:tblPr>
        <w:tblStyle w:val="TableGrid"/>
        <w:tblW w:w="0" w:type="auto"/>
        <w:tblLook w:val="04A0" w:firstRow="1" w:lastRow="0" w:firstColumn="1" w:lastColumn="0" w:noHBand="0" w:noVBand="1"/>
      </w:tblPr>
      <w:tblGrid>
        <w:gridCol w:w="1041"/>
        <w:gridCol w:w="1902"/>
        <w:gridCol w:w="3261"/>
        <w:gridCol w:w="1842"/>
      </w:tblGrid>
      <w:tr w:rsidR="009122F5" w:rsidRPr="00C169DB" w:rsidTr="00345CF8">
        <w:tc>
          <w:tcPr>
            <w:tcW w:w="1041" w:type="dxa"/>
          </w:tcPr>
          <w:p w:rsidR="009122F5" w:rsidRPr="00C169DB" w:rsidRDefault="009122F5" w:rsidP="00345CF8">
            <w:pPr>
              <w:spacing w:line="276" w:lineRule="auto"/>
              <w:rPr>
                <w:rFonts w:ascii="TitilliumText25L" w:hAnsi="TitilliumText25L"/>
                <w:b/>
              </w:rPr>
            </w:pPr>
            <w:r w:rsidRPr="00C169DB">
              <w:rPr>
                <w:rFonts w:ascii="TitilliumText25L" w:hAnsi="TitilliumText25L"/>
                <w:b/>
              </w:rPr>
              <w:t>Version</w:t>
            </w:r>
          </w:p>
        </w:tc>
        <w:tc>
          <w:tcPr>
            <w:tcW w:w="1902" w:type="dxa"/>
          </w:tcPr>
          <w:p w:rsidR="009122F5" w:rsidRPr="00C169DB" w:rsidRDefault="009122F5" w:rsidP="00345CF8">
            <w:pPr>
              <w:spacing w:line="276" w:lineRule="auto"/>
              <w:rPr>
                <w:rFonts w:ascii="TitilliumText25L" w:hAnsi="TitilliumText25L"/>
                <w:b/>
              </w:rPr>
            </w:pPr>
            <w:r w:rsidRPr="00C169DB">
              <w:rPr>
                <w:rFonts w:ascii="TitilliumText25L" w:hAnsi="TitilliumText25L"/>
                <w:b/>
              </w:rPr>
              <w:t>Date</w:t>
            </w:r>
          </w:p>
        </w:tc>
        <w:tc>
          <w:tcPr>
            <w:tcW w:w="3261" w:type="dxa"/>
          </w:tcPr>
          <w:p w:rsidR="009122F5" w:rsidRPr="00C169DB" w:rsidRDefault="009122F5" w:rsidP="00345CF8">
            <w:pPr>
              <w:spacing w:line="276" w:lineRule="auto"/>
              <w:rPr>
                <w:rFonts w:ascii="TitilliumText25L" w:hAnsi="TitilliumText25L"/>
                <w:b/>
              </w:rPr>
            </w:pPr>
            <w:r w:rsidRPr="00C169DB">
              <w:rPr>
                <w:rFonts w:ascii="TitilliumText25L" w:hAnsi="TitilliumText25L"/>
                <w:b/>
              </w:rPr>
              <w:t>Change</w:t>
            </w:r>
          </w:p>
        </w:tc>
        <w:tc>
          <w:tcPr>
            <w:tcW w:w="1842" w:type="dxa"/>
          </w:tcPr>
          <w:p w:rsidR="009122F5" w:rsidRPr="00C169DB" w:rsidRDefault="009122F5" w:rsidP="00345CF8">
            <w:pPr>
              <w:spacing w:line="276" w:lineRule="auto"/>
              <w:rPr>
                <w:rFonts w:ascii="TitilliumText25L" w:hAnsi="TitilliumText25L"/>
                <w:b/>
              </w:rPr>
            </w:pPr>
            <w:r w:rsidRPr="00C169DB">
              <w:rPr>
                <w:rFonts w:ascii="TitilliumText25L" w:hAnsi="TitilliumText25L"/>
                <w:b/>
              </w:rPr>
              <w:t>Planned Review</w:t>
            </w: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1</w:t>
            </w:r>
          </w:p>
        </w:tc>
        <w:tc>
          <w:tcPr>
            <w:tcW w:w="1902"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September 2013</w:t>
            </w:r>
          </w:p>
        </w:tc>
        <w:tc>
          <w:tcPr>
            <w:tcW w:w="3261"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Initial Document</w:t>
            </w:r>
          </w:p>
        </w:tc>
        <w:tc>
          <w:tcPr>
            <w:tcW w:w="1842" w:type="dxa"/>
          </w:tcPr>
          <w:p w:rsidR="009122F5" w:rsidRPr="00C169DB" w:rsidRDefault="009122F5" w:rsidP="00345CF8">
            <w:pPr>
              <w:spacing w:line="276" w:lineRule="auto"/>
              <w:rPr>
                <w:rFonts w:ascii="TitilliumText25L" w:hAnsi="TitilliumText25L"/>
              </w:rPr>
            </w:pP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1.1</w:t>
            </w:r>
          </w:p>
        </w:tc>
        <w:tc>
          <w:tcPr>
            <w:tcW w:w="1902"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June 2014</w:t>
            </w:r>
          </w:p>
        </w:tc>
        <w:tc>
          <w:tcPr>
            <w:tcW w:w="3261" w:type="dxa"/>
          </w:tcPr>
          <w:p w:rsidR="009122F5" w:rsidRPr="00C169DB" w:rsidRDefault="00BC0A0B" w:rsidP="00345CF8">
            <w:pPr>
              <w:spacing w:line="276" w:lineRule="auto"/>
              <w:rPr>
                <w:rFonts w:ascii="TitilliumText25L" w:hAnsi="TitilliumText25L"/>
              </w:rPr>
            </w:pPr>
            <w:r w:rsidRPr="00C169DB">
              <w:rPr>
                <w:rFonts w:ascii="TitilliumText25L" w:hAnsi="TitilliumText25L"/>
              </w:rPr>
              <w:t>Reviewed and further information provided on c</w:t>
            </w:r>
            <w:r w:rsidR="009122F5" w:rsidRPr="00C169DB">
              <w:rPr>
                <w:rFonts w:ascii="TitilliumText25L" w:hAnsi="TitilliumText25L"/>
              </w:rPr>
              <w:t>hronic</w:t>
            </w:r>
            <w:r w:rsidRPr="00C169DB">
              <w:rPr>
                <w:rFonts w:ascii="TitilliumText25L" w:hAnsi="TitilliumText25L"/>
              </w:rPr>
              <w:t>ally t</w:t>
            </w:r>
            <w:r w:rsidR="009122F5" w:rsidRPr="00C169DB">
              <w:rPr>
                <w:rFonts w:ascii="TitilliumText25L" w:hAnsi="TitilliumText25L"/>
              </w:rPr>
              <w:t>ransfus</w:t>
            </w:r>
            <w:r w:rsidRPr="00C169DB">
              <w:rPr>
                <w:rFonts w:ascii="TitilliumText25L" w:hAnsi="TitilliumText25L"/>
              </w:rPr>
              <w:t>ed p</w:t>
            </w:r>
            <w:r w:rsidR="009122F5" w:rsidRPr="00C169DB">
              <w:rPr>
                <w:rFonts w:ascii="TitilliumText25L" w:hAnsi="TitilliumText25L"/>
              </w:rPr>
              <w:t>atients.</w:t>
            </w:r>
          </w:p>
          <w:p w:rsidR="009122F5" w:rsidRPr="00C169DB" w:rsidRDefault="009122F5" w:rsidP="002545C7">
            <w:pPr>
              <w:spacing w:line="276" w:lineRule="auto"/>
              <w:rPr>
                <w:rFonts w:ascii="TitilliumText25L" w:hAnsi="TitilliumText25L"/>
              </w:rPr>
            </w:pPr>
            <w:r w:rsidRPr="00C169DB">
              <w:rPr>
                <w:rFonts w:ascii="TitilliumText25L" w:hAnsi="TitilliumText25L"/>
              </w:rPr>
              <w:t xml:space="preserve">Insertion </w:t>
            </w:r>
            <w:r w:rsidR="002545C7" w:rsidRPr="00C169DB">
              <w:rPr>
                <w:rFonts w:ascii="TitilliumText25L" w:hAnsi="TitilliumText25L"/>
              </w:rPr>
              <w:t xml:space="preserve">of </w:t>
            </w:r>
            <w:r w:rsidRPr="00C169DB">
              <w:rPr>
                <w:rFonts w:ascii="TitilliumText25L" w:hAnsi="TitilliumText25L"/>
              </w:rPr>
              <w:t>C</w:t>
            </w:r>
            <w:r w:rsidR="002545C7" w:rsidRPr="00C169DB">
              <w:rPr>
                <w:rFonts w:ascii="TitilliumText25L" w:hAnsi="TitilliumText25L"/>
              </w:rPr>
              <w:t>reative commons</w:t>
            </w:r>
            <w:r w:rsidRPr="00C169DB">
              <w:rPr>
                <w:rFonts w:ascii="TitilliumText25L" w:hAnsi="TitilliumText25L"/>
              </w:rPr>
              <w:t xml:space="preserve"> and ISBN.</w:t>
            </w:r>
          </w:p>
        </w:tc>
        <w:tc>
          <w:tcPr>
            <w:tcW w:w="1842" w:type="dxa"/>
          </w:tcPr>
          <w:p w:rsidR="009122F5" w:rsidRPr="00C169DB" w:rsidRDefault="009122F5" w:rsidP="00345CF8">
            <w:pPr>
              <w:spacing w:line="276" w:lineRule="auto"/>
              <w:rPr>
                <w:rFonts w:ascii="TitilliumText25L" w:hAnsi="TitilliumText25L"/>
              </w:rPr>
            </w:pPr>
            <w:r w:rsidRPr="00C169DB">
              <w:rPr>
                <w:rFonts w:ascii="TitilliumText25L" w:hAnsi="TitilliumText25L"/>
              </w:rPr>
              <w:t>June 2016</w:t>
            </w: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p>
        </w:tc>
        <w:tc>
          <w:tcPr>
            <w:tcW w:w="1902" w:type="dxa"/>
          </w:tcPr>
          <w:p w:rsidR="009122F5" w:rsidRPr="00C169DB" w:rsidRDefault="009122F5" w:rsidP="00345CF8">
            <w:pPr>
              <w:spacing w:line="276" w:lineRule="auto"/>
              <w:rPr>
                <w:rFonts w:ascii="TitilliumText25L" w:hAnsi="TitilliumText25L"/>
              </w:rPr>
            </w:pPr>
          </w:p>
        </w:tc>
        <w:tc>
          <w:tcPr>
            <w:tcW w:w="3261" w:type="dxa"/>
          </w:tcPr>
          <w:p w:rsidR="009122F5" w:rsidRPr="00C169DB" w:rsidRDefault="009122F5" w:rsidP="00345CF8">
            <w:pPr>
              <w:spacing w:line="276" w:lineRule="auto"/>
              <w:rPr>
                <w:rFonts w:ascii="TitilliumText25L" w:hAnsi="TitilliumText25L"/>
              </w:rPr>
            </w:pPr>
          </w:p>
        </w:tc>
        <w:tc>
          <w:tcPr>
            <w:tcW w:w="1842" w:type="dxa"/>
          </w:tcPr>
          <w:p w:rsidR="009122F5" w:rsidRPr="00C169DB" w:rsidRDefault="009122F5" w:rsidP="00345CF8">
            <w:pPr>
              <w:spacing w:line="276" w:lineRule="auto"/>
              <w:rPr>
                <w:rFonts w:ascii="TitilliumText25L" w:hAnsi="TitilliumText25L"/>
              </w:rPr>
            </w:pP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p>
        </w:tc>
        <w:tc>
          <w:tcPr>
            <w:tcW w:w="1902" w:type="dxa"/>
          </w:tcPr>
          <w:p w:rsidR="009122F5" w:rsidRPr="00C169DB" w:rsidRDefault="009122F5" w:rsidP="00345CF8">
            <w:pPr>
              <w:spacing w:line="276" w:lineRule="auto"/>
              <w:rPr>
                <w:rFonts w:ascii="TitilliumText25L" w:hAnsi="TitilliumText25L"/>
              </w:rPr>
            </w:pPr>
          </w:p>
        </w:tc>
        <w:tc>
          <w:tcPr>
            <w:tcW w:w="3261" w:type="dxa"/>
          </w:tcPr>
          <w:p w:rsidR="009122F5" w:rsidRPr="00C169DB" w:rsidRDefault="009122F5" w:rsidP="00345CF8">
            <w:pPr>
              <w:spacing w:line="276" w:lineRule="auto"/>
              <w:rPr>
                <w:rFonts w:ascii="TitilliumText25L" w:hAnsi="TitilliumText25L"/>
              </w:rPr>
            </w:pPr>
          </w:p>
        </w:tc>
        <w:tc>
          <w:tcPr>
            <w:tcW w:w="1842" w:type="dxa"/>
          </w:tcPr>
          <w:p w:rsidR="009122F5" w:rsidRPr="00C169DB" w:rsidRDefault="009122F5" w:rsidP="00345CF8">
            <w:pPr>
              <w:spacing w:line="276" w:lineRule="auto"/>
              <w:rPr>
                <w:rFonts w:ascii="TitilliumText25L" w:hAnsi="TitilliumText25L"/>
              </w:rPr>
            </w:pP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p>
        </w:tc>
        <w:tc>
          <w:tcPr>
            <w:tcW w:w="1902" w:type="dxa"/>
          </w:tcPr>
          <w:p w:rsidR="009122F5" w:rsidRPr="00C169DB" w:rsidRDefault="009122F5" w:rsidP="00345CF8">
            <w:pPr>
              <w:spacing w:line="276" w:lineRule="auto"/>
              <w:rPr>
                <w:rFonts w:ascii="TitilliumText25L" w:hAnsi="TitilliumText25L"/>
              </w:rPr>
            </w:pPr>
          </w:p>
        </w:tc>
        <w:tc>
          <w:tcPr>
            <w:tcW w:w="3261" w:type="dxa"/>
          </w:tcPr>
          <w:p w:rsidR="009122F5" w:rsidRPr="00C169DB" w:rsidRDefault="009122F5" w:rsidP="00345CF8">
            <w:pPr>
              <w:spacing w:line="276" w:lineRule="auto"/>
              <w:rPr>
                <w:rFonts w:ascii="TitilliumText25L" w:hAnsi="TitilliumText25L"/>
              </w:rPr>
            </w:pPr>
          </w:p>
        </w:tc>
        <w:tc>
          <w:tcPr>
            <w:tcW w:w="1842" w:type="dxa"/>
          </w:tcPr>
          <w:p w:rsidR="009122F5" w:rsidRPr="00C169DB" w:rsidRDefault="009122F5" w:rsidP="00345CF8">
            <w:pPr>
              <w:spacing w:line="276" w:lineRule="auto"/>
              <w:rPr>
                <w:rFonts w:ascii="TitilliumText25L" w:hAnsi="TitilliumText25L"/>
              </w:rPr>
            </w:pPr>
          </w:p>
        </w:tc>
      </w:tr>
      <w:tr w:rsidR="009122F5" w:rsidRPr="00C169DB" w:rsidTr="00345CF8">
        <w:tc>
          <w:tcPr>
            <w:tcW w:w="1041" w:type="dxa"/>
          </w:tcPr>
          <w:p w:rsidR="009122F5" w:rsidRPr="00C169DB" w:rsidRDefault="009122F5" w:rsidP="00345CF8">
            <w:pPr>
              <w:spacing w:line="276" w:lineRule="auto"/>
              <w:rPr>
                <w:rFonts w:ascii="TitilliumText25L" w:hAnsi="TitilliumText25L"/>
              </w:rPr>
            </w:pPr>
          </w:p>
        </w:tc>
        <w:tc>
          <w:tcPr>
            <w:tcW w:w="1902" w:type="dxa"/>
          </w:tcPr>
          <w:p w:rsidR="009122F5" w:rsidRPr="00C169DB" w:rsidRDefault="009122F5" w:rsidP="00345CF8">
            <w:pPr>
              <w:spacing w:line="276" w:lineRule="auto"/>
              <w:rPr>
                <w:rFonts w:ascii="TitilliumText25L" w:hAnsi="TitilliumText25L"/>
              </w:rPr>
            </w:pPr>
          </w:p>
        </w:tc>
        <w:tc>
          <w:tcPr>
            <w:tcW w:w="3261" w:type="dxa"/>
          </w:tcPr>
          <w:p w:rsidR="009122F5" w:rsidRPr="00C169DB" w:rsidRDefault="009122F5" w:rsidP="00345CF8">
            <w:pPr>
              <w:spacing w:line="276" w:lineRule="auto"/>
              <w:rPr>
                <w:rFonts w:ascii="TitilliumText25L" w:hAnsi="TitilliumText25L"/>
              </w:rPr>
            </w:pPr>
          </w:p>
        </w:tc>
        <w:tc>
          <w:tcPr>
            <w:tcW w:w="1842" w:type="dxa"/>
          </w:tcPr>
          <w:p w:rsidR="009122F5" w:rsidRPr="00C169DB" w:rsidRDefault="009122F5" w:rsidP="00345CF8">
            <w:pPr>
              <w:spacing w:line="276" w:lineRule="auto"/>
              <w:rPr>
                <w:rFonts w:ascii="TitilliumText25L" w:hAnsi="TitilliumText25L"/>
              </w:rPr>
            </w:pPr>
          </w:p>
        </w:tc>
      </w:tr>
    </w:tbl>
    <w:p w:rsidR="009122F5" w:rsidRPr="00C169DB" w:rsidRDefault="009122F5" w:rsidP="009122F5">
      <w:pPr>
        <w:rPr>
          <w:rFonts w:ascii="TitilliumText25L" w:hAnsi="TitilliumText25L"/>
        </w:rPr>
      </w:pPr>
    </w:p>
    <w:p w:rsidR="00345CF8" w:rsidRPr="00C169DB" w:rsidRDefault="00345CF8" w:rsidP="009122F5">
      <w:pPr>
        <w:spacing w:before="74" w:after="0"/>
        <w:ind w:left="127" w:right="-20"/>
        <w:rPr>
          <w:rFonts w:ascii="TitilliumText25L" w:eastAsia="TitilliumText22L Lt" w:hAnsi="TitilliumText25L" w:cs="TitilliumText22L Lt"/>
          <w:sz w:val="16"/>
          <w:szCs w:val="16"/>
        </w:rPr>
      </w:pPr>
    </w:p>
    <w:p w:rsidR="00345CF8" w:rsidRPr="00C169DB" w:rsidRDefault="00345CF8" w:rsidP="009122F5">
      <w:pPr>
        <w:spacing w:before="74" w:after="0"/>
        <w:ind w:left="127" w:right="-20"/>
        <w:rPr>
          <w:rFonts w:ascii="TitilliumText25L" w:eastAsia="TitilliumText22L Lt" w:hAnsi="TitilliumText25L" w:cs="TitilliumText22L Lt"/>
          <w:sz w:val="16"/>
          <w:szCs w:val="16"/>
        </w:rPr>
      </w:pPr>
    </w:p>
    <w:p w:rsidR="00345CF8" w:rsidRPr="00C169DB" w:rsidRDefault="00345CF8" w:rsidP="009122F5">
      <w:pPr>
        <w:spacing w:before="74" w:after="0"/>
        <w:ind w:left="127" w:right="-20"/>
        <w:rPr>
          <w:rFonts w:ascii="TitilliumText25L" w:eastAsia="TitilliumText22L Lt" w:hAnsi="TitilliumText25L" w:cs="TitilliumText22L Lt"/>
          <w:sz w:val="16"/>
          <w:szCs w:val="16"/>
        </w:rPr>
      </w:pPr>
    </w:p>
    <w:p w:rsidR="00345CF8" w:rsidRPr="00C169DB" w:rsidRDefault="00345CF8" w:rsidP="009122F5">
      <w:pPr>
        <w:spacing w:before="74" w:after="0"/>
        <w:ind w:left="127" w:right="-20"/>
        <w:rPr>
          <w:rFonts w:ascii="TitilliumText25L" w:eastAsia="TitilliumText22L Lt" w:hAnsi="TitilliumText25L" w:cs="TitilliumText22L Lt"/>
          <w:sz w:val="16"/>
          <w:szCs w:val="16"/>
        </w:rPr>
      </w:pPr>
    </w:p>
    <w:p w:rsidR="009A6D55" w:rsidRPr="00C169DB" w:rsidRDefault="009A6D55" w:rsidP="009122F5">
      <w:pPr>
        <w:spacing w:before="74" w:after="0"/>
        <w:ind w:left="127" w:right="-20"/>
        <w:rPr>
          <w:rFonts w:ascii="TitilliumText25L" w:eastAsia="TitilliumText22L Lt" w:hAnsi="TitilliumText25L" w:cs="TitilliumText22L Lt"/>
          <w:sz w:val="16"/>
          <w:szCs w:val="16"/>
        </w:rPr>
      </w:pPr>
    </w:p>
    <w:p w:rsidR="009A6D55" w:rsidRPr="00C169DB" w:rsidRDefault="009A6D55" w:rsidP="009122F5">
      <w:pPr>
        <w:spacing w:before="74" w:after="0"/>
        <w:ind w:left="127" w:right="-20"/>
        <w:rPr>
          <w:rFonts w:ascii="TitilliumText25L" w:eastAsia="TitilliumText22L Lt" w:hAnsi="TitilliumText25L" w:cs="TitilliumText22L Lt"/>
          <w:sz w:val="16"/>
          <w:szCs w:val="16"/>
        </w:rPr>
      </w:pPr>
    </w:p>
    <w:p w:rsidR="009122F5" w:rsidRPr="00C169DB" w:rsidRDefault="009122F5" w:rsidP="009122F5">
      <w:pPr>
        <w:spacing w:before="74"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7"/>
          <w:sz w:val="16"/>
          <w:szCs w:val="16"/>
        </w:rPr>
        <w:t xml:space="preserve"> </w:t>
      </w:r>
      <w:r w:rsidRPr="00C169DB">
        <w:rPr>
          <w:rFonts w:ascii="TitilliumText25L" w:eastAsia="TitilliumText22L Lt" w:hAnsi="TitilliumText25L" w:cs="TitilliumText22L Lt"/>
          <w:spacing w:val="-3"/>
          <w:sz w:val="16"/>
          <w:szCs w:val="16"/>
        </w:rPr>
        <w:t>Nationa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11"/>
          <w:sz w:val="16"/>
          <w:szCs w:val="16"/>
        </w:rPr>
        <w:t xml:space="preserve"> </w:t>
      </w:r>
      <w:r w:rsidRPr="00C169DB">
        <w:rPr>
          <w:rFonts w:ascii="TitilliumText25L" w:eastAsia="TitilliumText22L Lt" w:hAnsi="TitilliumText25L" w:cs="TitilliumText22L Lt"/>
          <w:spacing w:val="-3"/>
          <w:sz w:val="16"/>
          <w:szCs w:val="16"/>
        </w:rPr>
        <w:t>Bloo</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10"/>
          <w:sz w:val="16"/>
          <w:szCs w:val="16"/>
        </w:rPr>
        <w:t xml:space="preserve"> </w:t>
      </w:r>
      <w:r w:rsidRPr="00C169DB">
        <w:rPr>
          <w:rFonts w:ascii="TitilliumText25L" w:eastAsia="TitilliumText22L Lt" w:hAnsi="TitilliumText25L" w:cs="TitilliumText22L Lt"/>
          <w:spacing w:val="-3"/>
          <w:sz w:val="16"/>
          <w:szCs w:val="16"/>
        </w:rPr>
        <w:t>Authority</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11"/>
          <w:sz w:val="16"/>
          <w:szCs w:val="16"/>
        </w:rPr>
        <w:t xml:space="preserve"> </w:t>
      </w:r>
      <w:r w:rsidRPr="00C169DB">
        <w:rPr>
          <w:rFonts w:ascii="TitilliumText25L" w:eastAsia="TitilliumText22L Lt" w:hAnsi="TitilliumText25L" w:cs="TitilliumText22L Lt"/>
          <w:spacing w:val="-3"/>
          <w:sz w:val="16"/>
          <w:szCs w:val="16"/>
        </w:rPr>
        <w:t>2014.</w:t>
      </w:r>
    </w:p>
    <w:p w:rsidR="009122F5" w:rsidRPr="00C169DB" w:rsidRDefault="009122F5" w:rsidP="009122F5">
      <w:pPr>
        <w:spacing w:before="42" w:after="0"/>
        <w:ind w:left="117" w:right="-20"/>
        <w:rPr>
          <w:rFonts w:ascii="TitilliumText25L" w:eastAsia="Times New Roman" w:hAnsi="TitilliumText25L" w:cs="Times New Roman"/>
          <w:sz w:val="16"/>
          <w:szCs w:val="16"/>
        </w:rPr>
      </w:pPr>
      <w:r w:rsidRPr="00C169DB">
        <w:rPr>
          <w:rFonts w:ascii="TitilliumText25L" w:hAnsi="TitilliumText25L"/>
          <w:noProof/>
          <w:sz w:val="16"/>
          <w:szCs w:val="16"/>
          <w:lang w:eastAsia="en-AU"/>
        </w:rPr>
        <w:drawing>
          <wp:inline distT="0" distB="0" distL="0" distR="0" wp14:anchorId="7CAD5898" wp14:editId="212CAB91">
            <wp:extent cx="603885" cy="220980"/>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 cy="220980"/>
                    </a:xfrm>
                    <a:prstGeom prst="rect">
                      <a:avLst/>
                    </a:prstGeom>
                    <a:noFill/>
                    <a:ln>
                      <a:noFill/>
                    </a:ln>
                  </pic:spPr>
                </pic:pic>
              </a:graphicData>
            </a:graphic>
          </wp:inline>
        </w:drawing>
      </w:r>
    </w:p>
    <w:p w:rsidR="00CF5282" w:rsidRPr="00C169DB" w:rsidRDefault="009122F5" w:rsidP="009122F5">
      <w:pPr>
        <w:spacing w:before="44" w:after="0" w:line="278" w:lineRule="auto"/>
        <w:ind w:left="127" w:right="140"/>
        <w:rPr>
          <w:rFonts w:ascii="TitilliumText25L" w:eastAsia="TitilliumText22L Lt" w:hAnsi="TitilliumText25L" w:cs="TitilliumText22L Lt"/>
          <w:spacing w:val="-3"/>
          <w:sz w:val="16"/>
          <w:szCs w:val="16"/>
        </w:rPr>
      </w:pPr>
      <w:r w:rsidRPr="00C169DB">
        <w:rPr>
          <w:rFonts w:ascii="TitilliumText25L" w:eastAsia="TitilliumText22L Lt" w:hAnsi="TitilliumText25L" w:cs="TitilliumText22L Lt"/>
          <w:spacing w:val="-3"/>
          <w:sz w:val="16"/>
          <w:szCs w:val="16"/>
        </w:rPr>
        <w:t>Wit</w:t>
      </w:r>
      <w:r w:rsidRPr="00C169DB">
        <w:rPr>
          <w:rFonts w:ascii="TitilliumText25L" w:eastAsia="TitilliumText22L Lt" w:hAnsi="TitilliumText25L" w:cs="TitilliumText22L Lt"/>
          <w:sz w:val="16"/>
          <w:szCs w:val="16"/>
        </w:rPr>
        <w:t>h</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exceptio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f</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logo</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registere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trademarks</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wher</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otherwis</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noted</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al</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material presente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documen</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provide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unde</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z w:val="16"/>
          <w:szCs w:val="16"/>
        </w:rPr>
        <w:t>a</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Creativ</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Common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Attribution-NonCommercial- ShareAlik</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3.</w:t>
      </w:r>
      <w:r w:rsidRPr="00C169DB">
        <w:rPr>
          <w:rFonts w:ascii="TitilliumText25L" w:eastAsia="TitilliumText22L Lt" w:hAnsi="TitilliumText25L" w:cs="TitilliumText22L Lt"/>
          <w:sz w:val="16"/>
          <w:szCs w:val="16"/>
        </w:rPr>
        <w:t>0</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Australi</w:t>
      </w:r>
      <w:r w:rsidRPr="00C169DB">
        <w:rPr>
          <w:rFonts w:ascii="TitilliumText25L" w:eastAsia="TitilliumText22L Lt" w:hAnsi="TitilliumText25L" w:cs="TitilliumText22L Lt"/>
          <w:sz w:val="16"/>
          <w:szCs w:val="16"/>
        </w:rPr>
        <w:t>a</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licence</w:t>
      </w:r>
      <w:r w:rsidR="00CF5282" w:rsidRPr="00C169DB">
        <w:rPr>
          <w:rFonts w:ascii="TitilliumText25L" w:eastAsia="TitilliumText22L Lt" w:hAnsi="TitilliumText25L" w:cs="TitilliumText22L Lt"/>
          <w:spacing w:val="-3"/>
          <w:sz w:val="16"/>
          <w:szCs w:val="16"/>
        </w:rPr>
        <w:t xml:space="preserve"> (</w:t>
      </w:r>
      <w:hyperlink r:id="rId11" w:history="1">
        <w:r w:rsidR="00CF5282" w:rsidRPr="00C169DB">
          <w:rPr>
            <w:rStyle w:val="Hyperlink"/>
            <w:rFonts w:ascii="TitilliumText25L" w:eastAsia="TitilliumText22L Lt" w:hAnsi="TitilliumText25L" w:cs="TitilliumText22L Lt"/>
            <w:spacing w:val="-3"/>
            <w:sz w:val="16"/>
            <w:szCs w:val="16"/>
          </w:rPr>
          <w:t>https://creativecommons.org/licenses/by-nc-sa/3.0/au/</w:t>
        </w:r>
      </w:hyperlink>
      <w:r w:rsidR="00CF5282" w:rsidRPr="00C169DB">
        <w:rPr>
          <w:rFonts w:ascii="TitilliumText25L" w:eastAsia="TitilliumText22L Lt" w:hAnsi="TitilliumText25L" w:cs="TitilliumText22L Lt"/>
          <w:spacing w:val="-3"/>
          <w:sz w:val="16"/>
          <w:szCs w:val="16"/>
        </w:rPr>
        <w:t>).</w:t>
      </w:r>
    </w:p>
    <w:p w:rsidR="009122F5" w:rsidRPr="00C169DB" w:rsidRDefault="009122F5" w:rsidP="009122F5">
      <w:pPr>
        <w:spacing w:before="3" w:after="0" w:line="110" w:lineRule="exact"/>
        <w:rPr>
          <w:rFonts w:ascii="TitilliumText25L" w:hAnsi="TitilliumText25L"/>
          <w:sz w:val="16"/>
          <w:szCs w:val="16"/>
        </w:rPr>
      </w:pPr>
    </w:p>
    <w:p w:rsidR="009122F5" w:rsidRPr="00C169DB" w:rsidRDefault="009122F5" w:rsidP="009122F5">
      <w:pPr>
        <w:spacing w:after="0" w:line="278" w:lineRule="auto"/>
        <w:ind w:left="127" w:right="75"/>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Yo</w:t>
      </w:r>
      <w:r w:rsidRPr="00C169DB">
        <w:rPr>
          <w:rFonts w:ascii="TitilliumText25L" w:eastAsia="TitilliumText22L Lt" w:hAnsi="TitilliumText25L" w:cs="TitilliumText22L Lt"/>
          <w:sz w:val="16"/>
          <w:szCs w:val="16"/>
        </w:rPr>
        <w:t>u</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ar</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fre</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copy</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communicat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adap</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wor</w:t>
      </w:r>
      <w:r w:rsidRPr="00C169DB">
        <w:rPr>
          <w:rFonts w:ascii="TitilliumText25L" w:eastAsia="TitilliumText22L Lt" w:hAnsi="TitilliumText25L" w:cs="TitilliumText22L Lt"/>
          <w:sz w:val="16"/>
          <w:szCs w:val="16"/>
        </w:rPr>
        <w:t>k</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noncommercia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purposes</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lon</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you attribut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author</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distribut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derivativ</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wor</w:t>
      </w:r>
      <w:r w:rsidRPr="00C169DB">
        <w:rPr>
          <w:rFonts w:ascii="TitilliumText25L" w:eastAsia="TitilliumText22L Lt" w:hAnsi="TitilliumText25L" w:cs="TitilliumText22L Lt"/>
          <w:sz w:val="16"/>
          <w:szCs w:val="16"/>
        </w:rPr>
        <w:t>k</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(i.e</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ne</w:t>
      </w:r>
      <w:r w:rsidRPr="00C169DB">
        <w:rPr>
          <w:rFonts w:ascii="TitilliumText25L" w:eastAsia="TitilliumText22L Lt" w:hAnsi="TitilliumText25L" w:cs="TitilliumText22L Lt"/>
          <w:sz w:val="16"/>
          <w:szCs w:val="16"/>
        </w:rPr>
        <w:t>w</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wor</w:t>
      </w:r>
      <w:r w:rsidRPr="00C169DB">
        <w:rPr>
          <w:rFonts w:ascii="TitilliumText25L" w:eastAsia="TitilliumText22L Lt" w:hAnsi="TitilliumText25L" w:cs="TitilliumText22L Lt"/>
          <w:sz w:val="16"/>
          <w:szCs w:val="16"/>
        </w:rPr>
        <w:t>k</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base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work</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onl</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unde</w:t>
      </w:r>
      <w:r w:rsidR="00094CC6" w:rsidRPr="00C169DB">
        <w:rPr>
          <w:rFonts w:ascii="TitilliumText25L" w:eastAsia="TitilliumText22L Lt" w:hAnsi="TitilliumText25L" w:cs="TitilliumText22L Lt"/>
          <w:spacing w:val="-3"/>
          <w:sz w:val="16"/>
          <w:szCs w:val="16"/>
        </w:rPr>
        <w:t>r</w:t>
      </w:r>
      <w:r w:rsidRPr="00C169DB">
        <w:rPr>
          <w:rFonts w:ascii="TitilliumText25L" w:eastAsia="TitilliumText22L Lt" w:hAnsi="TitilliumText25L" w:cs="TitilliumText22L Lt"/>
          <w:spacing w:val="-3"/>
          <w:sz w:val="16"/>
          <w:szCs w:val="16"/>
        </w:rPr>
        <w:t xml:space="preserve"> 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licence.</w:t>
      </w:r>
    </w:p>
    <w:p w:rsidR="009122F5" w:rsidRPr="00C169DB" w:rsidRDefault="009122F5" w:rsidP="009122F5">
      <w:pPr>
        <w:spacing w:before="88" w:after="0" w:line="180" w:lineRule="atLeast"/>
        <w:ind w:left="127" w:right="202"/>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f</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yo</w:t>
      </w:r>
      <w:r w:rsidRPr="00C169DB">
        <w:rPr>
          <w:rFonts w:ascii="TitilliumText25L" w:eastAsia="TitilliumText22L Lt" w:hAnsi="TitilliumText25L" w:cs="TitilliumText22L Lt"/>
          <w:sz w:val="16"/>
          <w:szCs w:val="16"/>
        </w:rPr>
        <w:t>u</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adap</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wor</w:t>
      </w:r>
      <w:r w:rsidRPr="00C169DB">
        <w:rPr>
          <w:rFonts w:ascii="TitilliumText25L" w:eastAsia="TitilliumText22L Lt" w:hAnsi="TitilliumText25L" w:cs="TitilliumText22L Lt"/>
          <w:sz w:val="16"/>
          <w:szCs w:val="16"/>
        </w:rPr>
        <w:t>k</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wa</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includ</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z w:val="16"/>
          <w:szCs w:val="16"/>
        </w:rPr>
        <w:t>a</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collection</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publish</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distribut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otherwise disseminat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tha</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adaptatio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collectio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public</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shoul</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attribute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followin</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way:</w:t>
      </w:r>
    </w:p>
    <w:p w:rsidR="009122F5" w:rsidRPr="00C169DB" w:rsidRDefault="00CF5282" w:rsidP="009122F5">
      <w:pPr>
        <w:spacing w:before="16" w:after="0" w:line="260" w:lineRule="exact"/>
        <w:rPr>
          <w:rFonts w:ascii="TitilliumText25L" w:hAnsi="TitilliumText25L"/>
          <w:sz w:val="16"/>
          <w:szCs w:val="16"/>
        </w:rPr>
      </w:pPr>
      <w:r w:rsidRPr="00C169DB">
        <w:rPr>
          <w:rFonts w:ascii="TitilliumText25L" w:eastAsiaTheme="minorHAnsi" w:hAnsi="TitilliumText25L" w:cstheme="minorBidi"/>
          <w:noProof/>
          <w:sz w:val="16"/>
          <w:szCs w:val="16"/>
          <w:lang w:eastAsia="en-AU"/>
        </w:rPr>
        <mc:AlternateContent>
          <mc:Choice Requires="wpg">
            <w:drawing>
              <wp:anchor distT="0" distB="0" distL="114300" distR="114300" simplePos="0" relativeHeight="251675648" behindDoc="1" locked="0" layoutInCell="1" allowOverlap="1" wp14:anchorId="49BEA62D" wp14:editId="31F9F7A5">
                <wp:simplePos x="0" y="0"/>
                <wp:positionH relativeFrom="page">
                  <wp:posOffset>1027430</wp:posOffset>
                </wp:positionH>
                <wp:positionV relativeFrom="paragraph">
                  <wp:posOffset>33020</wp:posOffset>
                </wp:positionV>
                <wp:extent cx="590550" cy="111125"/>
                <wp:effectExtent l="0" t="0" r="19050" b="2222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1125"/>
                          <a:chOff x="567" y="494"/>
                          <a:chExt cx="930" cy="175"/>
                        </a:xfrm>
                      </wpg:grpSpPr>
                      <wpg:grpSp>
                        <wpg:cNvPr id="53" name="Group 3"/>
                        <wpg:cNvGrpSpPr>
                          <a:grpSpLocks/>
                        </wpg:cNvGrpSpPr>
                        <wpg:grpSpPr bwMode="auto">
                          <a:xfrm>
                            <a:off x="573" y="500"/>
                            <a:ext cx="918" cy="163"/>
                            <a:chOff x="573" y="500"/>
                            <a:chExt cx="918" cy="163"/>
                          </a:xfrm>
                        </wpg:grpSpPr>
                        <wps:wsp>
                          <wps:cNvPr id="54" name="Freeform 4"/>
                          <wps:cNvSpPr>
                            <a:spLocks/>
                          </wps:cNvSpPr>
                          <wps:spPr bwMode="auto">
                            <a:xfrm>
                              <a:off x="573" y="500"/>
                              <a:ext cx="918" cy="163"/>
                            </a:xfrm>
                            <a:custGeom>
                              <a:avLst/>
                              <a:gdLst>
                                <a:gd name="T0" fmla="+- 0 573 573"/>
                                <a:gd name="T1" fmla="*/ T0 w 918"/>
                                <a:gd name="T2" fmla="+- 0 500 500"/>
                                <a:gd name="T3" fmla="*/ 500 h 163"/>
                                <a:gd name="T4" fmla="+- 0 1491 573"/>
                                <a:gd name="T5" fmla="*/ T4 w 918"/>
                                <a:gd name="T6" fmla="+- 0 500 500"/>
                                <a:gd name="T7" fmla="*/ 500 h 163"/>
                                <a:gd name="T8" fmla="+- 0 1491 573"/>
                                <a:gd name="T9" fmla="*/ T8 w 918"/>
                                <a:gd name="T10" fmla="+- 0 662 500"/>
                                <a:gd name="T11" fmla="*/ 662 h 163"/>
                                <a:gd name="T12" fmla="+- 0 573 573"/>
                                <a:gd name="T13" fmla="*/ T12 w 918"/>
                                <a:gd name="T14" fmla="+- 0 662 500"/>
                                <a:gd name="T15" fmla="*/ 662 h 163"/>
                                <a:gd name="T16" fmla="+- 0 573 573"/>
                                <a:gd name="T17" fmla="*/ T16 w 918"/>
                                <a:gd name="T18" fmla="+- 0 500 500"/>
                                <a:gd name="T19" fmla="*/ 500 h 163"/>
                              </a:gdLst>
                              <a:ahLst/>
                              <a:cxnLst>
                                <a:cxn ang="0">
                                  <a:pos x="T1" y="T3"/>
                                </a:cxn>
                                <a:cxn ang="0">
                                  <a:pos x="T5" y="T7"/>
                                </a:cxn>
                                <a:cxn ang="0">
                                  <a:pos x="T9" y="T11"/>
                                </a:cxn>
                                <a:cxn ang="0">
                                  <a:pos x="T13" y="T15"/>
                                </a:cxn>
                                <a:cxn ang="0">
                                  <a:pos x="T17" y="T19"/>
                                </a:cxn>
                              </a:cxnLst>
                              <a:rect l="0" t="0" r="r" b="b"/>
                              <a:pathLst>
                                <a:path w="918" h="163">
                                  <a:moveTo>
                                    <a:pt x="0" y="0"/>
                                  </a:moveTo>
                                  <a:lnTo>
                                    <a:pt x="918" y="0"/>
                                  </a:lnTo>
                                  <a:lnTo>
                                    <a:pt x="918" y="162"/>
                                  </a:lnTo>
                                  <a:lnTo>
                                    <a:pt x="0" y="162"/>
                                  </a:lnTo>
                                  <a:lnTo>
                                    <a:pt x="0"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
                        <wpg:cNvGrpSpPr>
                          <a:grpSpLocks/>
                        </wpg:cNvGrpSpPr>
                        <wpg:grpSpPr bwMode="auto">
                          <a:xfrm>
                            <a:off x="590" y="516"/>
                            <a:ext cx="883" cy="130"/>
                            <a:chOff x="590" y="516"/>
                            <a:chExt cx="883" cy="130"/>
                          </a:xfrm>
                        </wpg:grpSpPr>
                        <wps:wsp>
                          <wps:cNvPr id="56" name="Freeform 6"/>
                          <wps:cNvSpPr>
                            <a:spLocks/>
                          </wps:cNvSpPr>
                          <wps:spPr bwMode="auto">
                            <a:xfrm>
                              <a:off x="590" y="516"/>
                              <a:ext cx="883" cy="130"/>
                            </a:xfrm>
                            <a:custGeom>
                              <a:avLst/>
                              <a:gdLst>
                                <a:gd name="T0" fmla="+- 0 590 590"/>
                                <a:gd name="T1" fmla="*/ T0 w 883"/>
                                <a:gd name="T2" fmla="+- 0 516 516"/>
                                <a:gd name="T3" fmla="*/ 516 h 130"/>
                                <a:gd name="T4" fmla="+- 0 1473 590"/>
                                <a:gd name="T5" fmla="*/ T4 w 883"/>
                                <a:gd name="T6" fmla="+- 0 516 516"/>
                                <a:gd name="T7" fmla="*/ 516 h 130"/>
                                <a:gd name="T8" fmla="+- 0 1473 590"/>
                                <a:gd name="T9" fmla="*/ T8 w 883"/>
                                <a:gd name="T10" fmla="+- 0 646 516"/>
                                <a:gd name="T11" fmla="*/ 646 h 130"/>
                                <a:gd name="T12" fmla="+- 0 590 590"/>
                                <a:gd name="T13" fmla="*/ T12 w 883"/>
                                <a:gd name="T14" fmla="+- 0 646 516"/>
                                <a:gd name="T15" fmla="*/ 646 h 130"/>
                                <a:gd name="T16" fmla="+- 0 590 590"/>
                                <a:gd name="T17" fmla="*/ T16 w 883"/>
                                <a:gd name="T18" fmla="+- 0 516 516"/>
                                <a:gd name="T19" fmla="*/ 516 h 130"/>
                              </a:gdLst>
                              <a:ahLst/>
                              <a:cxnLst>
                                <a:cxn ang="0">
                                  <a:pos x="T1" y="T3"/>
                                </a:cxn>
                                <a:cxn ang="0">
                                  <a:pos x="T5" y="T7"/>
                                </a:cxn>
                                <a:cxn ang="0">
                                  <a:pos x="T9" y="T11"/>
                                </a:cxn>
                                <a:cxn ang="0">
                                  <a:pos x="T13" y="T15"/>
                                </a:cxn>
                                <a:cxn ang="0">
                                  <a:pos x="T17" y="T19"/>
                                </a:cxn>
                              </a:cxnLst>
                              <a:rect l="0" t="0" r="r" b="b"/>
                              <a:pathLst>
                                <a:path w="883" h="130">
                                  <a:moveTo>
                                    <a:pt x="0" y="0"/>
                                  </a:moveTo>
                                  <a:lnTo>
                                    <a:pt x="883" y="0"/>
                                  </a:lnTo>
                                  <a:lnTo>
                                    <a:pt x="883" y="130"/>
                                  </a:lnTo>
                                  <a:lnTo>
                                    <a:pt x="0" y="13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7"/>
                        <wpg:cNvGrpSpPr>
                          <a:grpSpLocks/>
                        </wpg:cNvGrpSpPr>
                        <wpg:grpSpPr bwMode="auto">
                          <a:xfrm>
                            <a:off x="590" y="516"/>
                            <a:ext cx="258" cy="130"/>
                            <a:chOff x="590" y="516"/>
                            <a:chExt cx="258" cy="130"/>
                          </a:xfrm>
                        </wpg:grpSpPr>
                        <wps:wsp>
                          <wps:cNvPr id="58" name="Freeform 8"/>
                          <wps:cNvSpPr>
                            <a:spLocks/>
                          </wps:cNvSpPr>
                          <wps:spPr bwMode="auto">
                            <a:xfrm>
                              <a:off x="590" y="516"/>
                              <a:ext cx="258" cy="130"/>
                            </a:xfrm>
                            <a:custGeom>
                              <a:avLst/>
                              <a:gdLst>
                                <a:gd name="T0" fmla="+- 0 590 590"/>
                                <a:gd name="T1" fmla="*/ T0 w 258"/>
                                <a:gd name="T2" fmla="+- 0 516 516"/>
                                <a:gd name="T3" fmla="*/ 516 h 130"/>
                                <a:gd name="T4" fmla="+- 0 590 590"/>
                                <a:gd name="T5" fmla="*/ T4 w 258"/>
                                <a:gd name="T6" fmla="+- 0 646 516"/>
                                <a:gd name="T7" fmla="*/ 646 h 130"/>
                                <a:gd name="T8" fmla="+- 0 823 590"/>
                                <a:gd name="T9" fmla="*/ T8 w 258"/>
                                <a:gd name="T10" fmla="+- 0 646 516"/>
                                <a:gd name="T11" fmla="*/ 646 h 130"/>
                                <a:gd name="T12" fmla="+- 0 835 590"/>
                                <a:gd name="T13" fmla="*/ T12 w 258"/>
                                <a:gd name="T14" fmla="+- 0 629 516"/>
                                <a:gd name="T15" fmla="*/ 629 h 130"/>
                                <a:gd name="T16" fmla="+- 0 843 590"/>
                                <a:gd name="T17" fmla="*/ T16 w 258"/>
                                <a:gd name="T18" fmla="+- 0 611 516"/>
                                <a:gd name="T19" fmla="*/ 611 h 130"/>
                                <a:gd name="T20" fmla="+- 0 848 590"/>
                                <a:gd name="T21" fmla="*/ T20 w 258"/>
                                <a:gd name="T22" fmla="+- 0 591 516"/>
                                <a:gd name="T23" fmla="*/ 591 h 130"/>
                                <a:gd name="T24" fmla="+- 0 847 590"/>
                                <a:gd name="T25" fmla="*/ T24 w 258"/>
                                <a:gd name="T26" fmla="+- 0 568 516"/>
                                <a:gd name="T27" fmla="*/ 568 h 130"/>
                                <a:gd name="T28" fmla="+- 0 842 590"/>
                                <a:gd name="T29" fmla="*/ T28 w 258"/>
                                <a:gd name="T30" fmla="+- 0 548 516"/>
                                <a:gd name="T31" fmla="*/ 548 h 130"/>
                                <a:gd name="T32" fmla="+- 0 834 590"/>
                                <a:gd name="T33" fmla="*/ T32 w 258"/>
                                <a:gd name="T34" fmla="+- 0 531 516"/>
                                <a:gd name="T35" fmla="*/ 531 h 130"/>
                                <a:gd name="T36" fmla="+- 0 590 590"/>
                                <a:gd name="T37" fmla="*/ T36 w 258"/>
                                <a:gd name="T38" fmla="+- 0 516 516"/>
                                <a:gd name="T39" fmla="*/ 51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8" h="130">
                                  <a:moveTo>
                                    <a:pt x="0" y="0"/>
                                  </a:moveTo>
                                  <a:lnTo>
                                    <a:pt x="0" y="130"/>
                                  </a:lnTo>
                                  <a:lnTo>
                                    <a:pt x="233" y="130"/>
                                  </a:lnTo>
                                  <a:lnTo>
                                    <a:pt x="245" y="113"/>
                                  </a:lnTo>
                                  <a:lnTo>
                                    <a:pt x="253" y="95"/>
                                  </a:lnTo>
                                  <a:lnTo>
                                    <a:pt x="258" y="75"/>
                                  </a:lnTo>
                                  <a:lnTo>
                                    <a:pt x="257" y="52"/>
                                  </a:lnTo>
                                  <a:lnTo>
                                    <a:pt x="252" y="32"/>
                                  </a:lnTo>
                                  <a:lnTo>
                                    <a:pt x="244" y="15"/>
                                  </a:lnTo>
                                  <a:lnTo>
                                    <a:pt x="0" y="0"/>
                                  </a:lnTo>
                                </a:path>
                              </a:pathLst>
                            </a:custGeom>
                            <a:solidFill>
                              <a:srgbClr val="9FA9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9"/>
                        <wpg:cNvGrpSpPr>
                          <a:grpSpLocks/>
                        </wpg:cNvGrpSpPr>
                        <wpg:grpSpPr bwMode="auto">
                          <a:xfrm>
                            <a:off x="636" y="516"/>
                            <a:ext cx="155" cy="130"/>
                            <a:chOff x="636" y="516"/>
                            <a:chExt cx="155" cy="130"/>
                          </a:xfrm>
                        </wpg:grpSpPr>
                        <wps:wsp>
                          <wps:cNvPr id="60" name="Freeform 10"/>
                          <wps:cNvSpPr>
                            <a:spLocks/>
                          </wps:cNvSpPr>
                          <wps:spPr bwMode="auto">
                            <a:xfrm>
                              <a:off x="636" y="516"/>
                              <a:ext cx="155" cy="130"/>
                            </a:xfrm>
                            <a:custGeom>
                              <a:avLst/>
                              <a:gdLst>
                                <a:gd name="T0" fmla="+- 0 745 636"/>
                                <a:gd name="T1" fmla="*/ T0 w 155"/>
                                <a:gd name="T2" fmla="+- 0 524 516"/>
                                <a:gd name="T3" fmla="*/ 524 h 130"/>
                                <a:gd name="T4" fmla="+- 0 679 636"/>
                                <a:gd name="T5" fmla="*/ T4 w 155"/>
                                <a:gd name="T6" fmla="+- 0 524 516"/>
                                <a:gd name="T7" fmla="*/ 524 h 130"/>
                                <a:gd name="T8" fmla="+- 0 664 636"/>
                                <a:gd name="T9" fmla="*/ T8 w 155"/>
                                <a:gd name="T10" fmla="+- 0 532 516"/>
                                <a:gd name="T11" fmla="*/ 532 h 130"/>
                                <a:gd name="T12" fmla="+- 0 649 636"/>
                                <a:gd name="T13" fmla="*/ T12 w 155"/>
                                <a:gd name="T14" fmla="+- 0 548 516"/>
                                <a:gd name="T15" fmla="*/ 548 h 130"/>
                                <a:gd name="T16" fmla="+- 0 639 636"/>
                                <a:gd name="T17" fmla="*/ T16 w 155"/>
                                <a:gd name="T18" fmla="+- 0 567 516"/>
                                <a:gd name="T19" fmla="*/ 567 h 130"/>
                                <a:gd name="T20" fmla="+- 0 636 636"/>
                                <a:gd name="T21" fmla="*/ T20 w 155"/>
                                <a:gd name="T22" fmla="+- 0 589 516"/>
                                <a:gd name="T23" fmla="*/ 589 h 130"/>
                                <a:gd name="T24" fmla="+- 0 637 636"/>
                                <a:gd name="T25" fmla="*/ T24 w 155"/>
                                <a:gd name="T26" fmla="+- 0 603 516"/>
                                <a:gd name="T27" fmla="*/ 603 h 130"/>
                                <a:gd name="T28" fmla="+- 0 644 636"/>
                                <a:gd name="T29" fmla="*/ T28 w 155"/>
                                <a:gd name="T30" fmla="+- 0 622 516"/>
                                <a:gd name="T31" fmla="*/ 622 h 130"/>
                                <a:gd name="T32" fmla="+- 0 657 636"/>
                                <a:gd name="T33" fmla="*/ T32 w 155"/>
                                <a:gd name="T34" fmla="+- 0 639 516"/>
                                <a:gd name="T35" fmla="*/ 639 h 130"/>
                                <a:gd name="T36" fmla="+- 0 675 636"/>
                                <a:gd name="T37" fmla="*/ T36 w 155"/>
                                <a:gd name="T38" fmla="+- 0 651 516"/>
                                <a:gd name="T39" fmla="*/ 651 h 130"/>
                                <a:gd name="T40" fmla="+- 0 682 636"/>
                                <a:gd name="T41" fmla="*/ T40 w 155"/>
                                <a:gd name="T42" fmla="+- 0 654 516"/>
                                <a:gd name="T43" fmla="*/ 654 h 130"/>
                                <a:gd name="T44" fmla="+- 0 749 636"/>
                                <a:gd name="T45" fmla="*/ T44 w 155"/>
                                <a:gd name="T46" fmla="+- 0 654 516"/>
                                <a:gd name="T47" fmla="*/ 654 h 130"/>
                                <a:gd name="T48" fmla="+- 0 763 636"/>
                                <a:gd name="T49" fmla="*/ T48 w 155"/>
                                <a:gd name="T50" fmla="+- 0 646 516"/>
                                <a:gd name="T51" fmla="*/ 646 h 130"/>
                                <a:gd name="T52" fmla="+- 0 778 636"/>
                                <a:gd name="T53" fmla="*/ T52 w 155"/>
                                <a:gd name="T54" fmla="+- 0 630 516"/>
                                <a:gd name="T55" fmla="*/ 630 h 130"/>
                                <a:gd name="T56" fmla="+- 0 788 636"/>
                                <a:gd name="T57" fmla="*/ T56 w 155"/>
                                <a:gd name="T58" fmla="+- 0 611 516"/>
                                <a:gd name="T59" fmla="*/ 611 h 130"/>
                                <a:gd name="T60" fmla="+- 0 791 636"/>
                                <a:gd name="T61" fmla="*/ T60 w 155"/>
                                <a:gd name="T62" fmla="+- 0 589 516"/>
                                <a:gd name="T63" fmla="*/ 589 h 130"/>
                                <a:gd name="T64" fmla="+- 0 790 636"/>
                                <a:gd name="T65" fmla="*/ T64 w 155"/>
                                <a:gd name="T66" fmla="+- 0 575 516"/>
                                <a:gd name="T67" fmla="*/ 575 h 130"/>
                                <a:gd name="T68" fmla="+- 0 783 636"/>
                                <a:gd name="T69" fmla="*/ T68 w 155"/>
                                <a:gd name="T70" fmla="+- 0 556 516"/>
                                <a:gd name="T71" fmla="*/ 556 h 130"/>
                                <a:gd name="T72" fmla="+- 0 770 636"/>
                                <a:gd name="T73" fmla="*/ T72 w 155"/>
                                <a:gd name="T74" fmla="+- 0 539 516"/>
                                <a:gd name="T75" fmla="*/ 539 h 130"/>
                                <a:gd name="T76" fmla="+- 0 753 636"/>
                                <a:gd name="T77" fmla="*/ T76 w 155"/>
                                <a:gd name="T78" fmla="+- 0 527 516"/>
                                <a:gd name="T79" fmla="*/ 527 h 130"/>
                                <a:gd name="T80" fmla="+- 0 745 636"/>
                                <a:gd name="T81" fmla="*/ T80 w 155"/>
                                <a:gd name="T82" fmla="+- 0 524 516"/>
                                <a:gd name="T83" fmla="*/ 52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 h="130">
                                  <a:moveTo>
                                    <a:pt x="109" y="8"/>
                                  </a:moveTo>
                                  <a:lnTo>
                                    <a:pt x="43" y="8"/>
                                  </a:lnTo>
                                  <a:lnTo>
                                    <a:pt x="28" y="16"/>
                                  </a:lnTo>
                                  <a:lnTo>
                                    <a:pt x="13" y="32"/>
                                  </a:lnTo>
                                  <a:lnTo>
                                    <a:pt x="3" y="51"/>
                                  </a:lnTo>
                                  <a:lnTo>
                                    <a:pt x="0" y="73"/>
                                  </a:lnTo>
                                  <a:lnTo>
                                    <a:pt x="1" y="87"/>
                                  </a:lnTo>
                                  <a:lnTo>
                                    <a:pt x="8" y="106"/>
                                  </a:lnTo>
                                  <a:lnTo>
                                    <a:pt x="21" y="123"/>
                                  </a:lnTo>
                                  <a:lnTo>
                                    <a:pt x="39" y="135"/>
                                  </a:lnTo>
                                  <a:lnTo>
                                    <a:pt x="46" y="138"/>
                                  </a:lnTo>
                                  <a:lnTo>
                                    <a:pt x="113" y="138"/>
                                  </a:lnTo>
                                  <a:lnTo>
                                    <a:pt x="127" y="130"/>
                                  </a:lnTo>
                                  <a:lnTo>
                                    <a:pt x="142" y="114"/>
                                  </a:lnTo>
                                  <a:lnTo>
                                    <a:pt x="152" y="95"/>
                                  </a:lnTo>
                                  <a:lnTo>
                                    <a:pt x="155" y="73"/>
                                  </a:lnTo>
                                  <a:lnTo>
                                    <a:pt x="154" y="59"/>
                                  </a:lnTo>
                                  <a:lnTo>
                                    <a:pt x="147" y="40"/>
                                  </a:lnTo>
                                  <a:lnTo>
                                    <a:pt x="134" y="23"/>
                                  </a:lnTo>
                                  <a:lnTo>
                                    <a:pt x="117" y="11"/>
                                  </a:lnTo>
                                  <a:lnTo>
                                    <a:pt x="109"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1"/>
                        <wpg:cNvGrpSpPr>
                          <a:grpSpLocks/>
                        </wpg:cNvGrpSpPr>
                        <wpg:grpSpPr bwMode="auto">
                          <a:xfrm>
                            <a:off x="625" y="516"/>
                            <a:ext cx="178" cy="130"/>
                            <a:chOff x="625" y="516"/>
                            <a:chExt cx="178" cy="130"/>
                          </a:xfrm>
                        </wpg:grpSpPr>
                        <wps:wsp>
                          <wps:cNvPr id="62" name="Freeform 12"/>
                          <wps:cNvSpPr>
                            <a:spLocks/>
                          </wps:cNvSpPr>
                          <wps:spPr bwMode="auto">
                            <a:xfrm>
                              <a:off x="625" y="516"/>
                              <a:ext cx="178" cy="130"/>
                            </a:xfrm>
                            <a:custGeom>
                              <a:avLst/>
                              <a:gdLst>
                                <a:gd name="T0" fmla="+- 0 693 625"/>
                                <a:gd name="T1" fmla="*/ T0 w 178"/>
                                <a:gd name="T2" fmla="+- 0 534 516"/>
                                <a:gd name="T3" fmla="*/ 534 h 130"/>
                                <a:gd name="T4" fmla="+- 0 659 625"/>
                                <a:gd name="T5" fmla="*/ T4 w 178"/>
                                <a:gd name="T6" fmla="+- 0 534 516"/>
                                <a:gd name="T7" fmla="*/ 534 h 130"/>
                                <a:gd name="T8" fmla="+- 0 643 625"/>
                                <a:gd name="T9" fmla="*/ T8 w 178"/>
                                <a:gd name="T10" fmla="+- 0 548 516"/>
                                <a:gd name="T11" fmla="*/ 548 h 130"/>
                                <a:gd name="T12" fmla="+- 0 633 625"/>
                                <a:gd name="T13" fmla="*/ T12 w 178"/>
                                <a:gd name="T14" fmla="+- 0 564 516"/>
                                <a:gd name="T15" fmla="*/ 564 h 130"/>
                                <a:gd name="T16" fmla="+- 0 627 625"/>
                                <a:gd name="T17" fmla="*/ T16 w 178"/>
                                <a:gd name="T18" fmla="+- 0 583 516"/>
                                <a:gd name="T19" fmla="*/ 583 h 130"/>
                                <a:gd name="T20" fmla="+- 0 625 625"/>
                                <a:gd name="T21" fmla="*/ T20 w 178"/>
                                <a:gd name="T22" fmla="+- 0 605 516"/>
                                <a:gd name="T23" fmla="*/ 605 h 130"/>
                                <a:gd name="T24" fmla="+- 0 625 625"/>
                                <a:gd name="T25" fmla="*/ T24 w 178"/>
                                <a:gd name="T26" fmla="+- 0 607 516"/>
                                <a:gd name="T27" fmla="*/ 607 h 130"/>
                                <a:gd name="T28" fmla="+- 0 629 625"/>
                                <a:gd name="T29" fmla="*/ T28 w 178"/>
                                <a:gd name="T30" fmla="+- 0 625 516"/>
                                <a:gd name="T31" fmla="*/ 625 h 130"/>
                                <a:gd name="T32" fmla="+- 0 638 625"/>
                                <a:gd name="T33" fmla="*/ T32 w 178"/>
                                <a:gd name="T34" fmla="+- 0 643 516"/>
                                <a:gd name="T35" fmla="*/ 643 h 130"/>
                                <a:gd name="T36" fmla="+- 0 653 625"/>
                                <a:gd name="T37" fmla="*/ T36 w 178"/>
                                <a:gd name="T38" fmla="+- 0 660 516"/>
                                <a:gd name="T39" fmla="*/ 660 h 130"/>
                                <a:gd name="T40" fmla="+- 0 658 625"/>
                                <a:gd name="T41" fmla="*/ T40 w 178"/>
                                <a:gd name="T42" fmla="+- 0 664 516"/>
                                <a:gd name="T43" fmla="*/ 664 h 130"/>
                                <a:gd name="T44" fmla="+- 0 691 625"/>
                                <a:gd name="T45" fmla="*/ T44 w 178"/>
                                <a:gd name="T46" fmla="+- 0 664 516"/>
                                <a:gd name="T47" fmla="*/ 664 h 130"/>
                                <a:gd name="T48" fmla="+- 0 676 625"/>
                                <a:gd name="T49" fmla="*/ T48 w 178"/>
                                <a:gd name="T50" fmla="+- 0 657 516"/>
                                <a:gd name="T51" fmla="*/ 657 h 130"/>
                                <a:gd name="T52" fmla="+- 0 658 625"/>
                                <a:gd name="T53" fmla="*/ T52 w 178"/>
                                <a:gd name="T54" fmla="+- 0 643 516"/>
                                <a:gd name="T55" fmla="*/ 643 h 130"/>
                                <a:gd name="T56" fmla="+- 0 649 625"/>
                                <a:gd name="T57" fmla="*/ T56 w 178"/>
                                <a:gd name="T58" fmla="+- 0 629 516"/>
                                <a:gd name="T59" fmla="*/ 629 h 130"/>
                                <a:gd name="T60" fmla="+- 0 643 625"/>
                                <a:gd name="T61" fmla="*/ T60 w 178"/>
                                <a:gd name="T62" fmla="+- 0 610 516"/>
                                <a:gd name="T63" fmla="*/ 610 h 130"/>
                                <a:gd name="T64" fmla="+- 0 642 625"/>
                                <a:gd name="T65" fmla="*/ T64 w 178"/>
                                <a:gd name="T66" fmla="+- 0 589 516"/>
                                <a:gd name="T67" fmla="*/ 589 h 130"/>
                                <a:gd name="T68" fmla="+- 0 642 625"/>
                                <a:gd name="T69" fmla="*/ T68 w 178"/>
                                <a:gd name="T70" fmla="+- 0 584 516"/>
                                <a:gd name="T71" fmla="*/ 584 h 130"/>
                                <a:gd name="T72" fmla="+- 0 649 625"/>
                                <a:gd name="T73" fmla="*/ T72 w 178"/>
                                <a:gd name="T74" fmla="+- 0 567 516"/>
                                <a:gd name="T75" fmla="*/ 567 h 130"/>
                                <a:gd name="T76" fmla="+- 0 662 625"/>
                                <a:gd name="T77" fmla="*/ T76 w 178"/>
                                <a:gd name="T78" fmla="+- 0 550 516"/>
                                <a:gd name="T79" fmla="*/ 550 h 130"/>
                                <a:gd name="T80" fmla="+- 0 666 625"/>
                                <a:gd name="T81" fmla="*/ T80 w 178"/>
                                <a:gd name="T82" fmla="+- 0 547 516"/>
                                <a:gd name="T83" fmla="*/ 547 h 130"/>
                                <a:gd name="T84" fmla="+- 0 680 625"/>
                                <a:gd name="T85" fmla="*/ T84 w 178"/>
                                <a:gd name="T86" fmla="+- 0 537 516"/>
                                <a:gd name="T87" fmla="*/ 537 h 130"/>
                                <a:gd name="T88" fmla="+- 0 693 625"/>
                                <a:gd name="T89" fmla="*/ T88 w 178"/>
                                <a:gd name="T90" fmla="+- 0 534 516"/>
                                <a:gd name="T91" fmla="*/ 53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 h="130">
                                  <a:moveTo>
                                    <a:pt x="68" y="18"/>
                                  </a:moveTo>
                                  <a:lnTo>
                                    <a:pt x="34" y="18"/>
                                  </a:lnTo>
                                  <a:lnTo>
                                    <a:pt x="18" y="32"/>
                                  </a:lnTo>
                                  <a:lnTo>
                                    <a:pt x="8" y="48"/>
                                  </a:lnTo>
                                  <a:lnTo>
                                    <a:pt x="2" y="67"/>
                                  </a:lnTo>
                                  <a:lnTo>
                                    <a:pt x="0" y="89"/>
                                  </a:lnTo>
                                  <a:lnTo>
                                    <a:pt x="0" y="91"/>
                                  </a:lnTo>
                                  <a:lnTo>
                                    <a:pt x="4" y="109"/>
                                  </a:lnTo>
                                  <a:lnTo>
                                    <a:pt x="13" y="127"/>
                                  </a:lnTo>
                                  <a:lnTo>
                                    <a:pt x="28" y="144"/>
                                  </a:lnTo>
                                  <a:lnTo>
                                    <a:pt x="33" y="148"/>
                                  </a:lnTo>
                                  <a:lnTo>
                                    <a:pt x="66" y="148"/>
                                  </a:lnTo>
                                  <a:lnTo>
                                    <a:pt x="51" y="141"/>
                                  </a:lnTo>
                                  <a:lnTo>
                                    <a:pt x="33" y="127"/>
                                  </a:lnTo>
                                  <a:lnTo>
                                    <a:pt x="24" y="113"/>
                                  </a:lnTo>
                                  <a:lnTo>
                                    <a:pt x="18" y="94"/>
                                  </a:lnTo>
                                  <a:lnTo>
                                    <a:pt x="17" y="73"/>
                                  </a:lnTo>
                                  <a:lnTo>
                                    <a:pt x="17" y="68"/>
                                  </a:lnTo>
                                  <a:lnTo>
                                    <a:pt x="24" y="51"/>
                                  </a:lnTo>
                                  <a:lnTo>
                                    <a:pt x="37" y="34"/>
                                  </a:lnTo>
                                  <a:lnTo>
                                    <a:pt x="41" y="31"/>
                                  </a:lnTo>
                                  <a:lnTo>
                                    <a:pt x="55" y="21"/>
                                  </a:lnTo>
                                  <a:lnTo>
                                    <a:pt x="68"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
                          <wps:cNvSpPr>
                            <a:spLocks/>
                          </wps:cNvSpPr>
                          <wps:spPr bwMode="auto">
                            <a:xfrm>
                              <a:off x="625" y="516"/>
                              <a:ext cx="178" cy="130"/>
                            </a:xfrm>
                            <a:custGeom>
                              <a:avLst/>
                              <a:gdLst>
                                <a:gd name="T0" fmla="+- 0 770 625"/>
                                <a:gd name="T1" fmla="*/ T0 w 178"/>
                                <a:gd name="T2" fmla="+- 0 534 516"/>
                                <a:gd name="T3" fmla="*/ 534 h 130"/>
                                <a:gd name="T4" fmla="+- 0 736 625"/>
                                <a:gd name="T5" fmla="*/ T4 w 178"/>
                                <a:gd name="T6" fmla="+- 0 534 516"/>
                                <a:gd name="T7" fmla="*/ 534 h 130"/>
                                <a:gd name="T8" fmla="+- 0 740 625"/>
                                <a:gd name="T9" fmla="*/ T8 w 178"/>
                                <a:gd name="T10" fmla="+- 0 535 516"/>
                                <a:gd name="T11" fmla="*/ 535 h 130"/>
                                <a:gd name="T12" fmla="+- 0 757 625"/>
                                <a:gd name="T13" fmla="*/ T12 w 178"/>
                                <a:gd name="T14" fmla="+- 0 546 516"/>
                                <a:gd name="T15" fmla="*/ 546 h 130"/>
                                <a:gd name="T16" fmla="+- 0 777 625"/>
                                <a:gd name="T17" fmla="*/ T16 w 178"/>
                                <a:gd name="T18" fmla="+- 0 564 516"/>
                                <a:gd name="T19" fmla="*/ 564 h 130"/>
                                <a:gd name="T20" fmla="+- 0 784 625"/>
                                <a:gd name="T21" fmla="*/ T20 w 178"/>
                                <a:gd name="T22" fmla="+- 0 582 516"/>
                                <a:gd name="T23" fmla="*/ 582 h 130"/>
                                <a:gd name="T24" fmla="+- 0 786 625"/>
                                <a:gd name="T25" fmla="*/ T24 w 178"/>
                                <a:gd name="T26" fmla="+- 0 605 516"/>
                                <a:gd name="T27" fmla="*/ 605 h 130"/>
                                <a:gd name="T28" fmla="+- 0 782 625"/>
                                <a:gd name="T29" fmla="*/ T28 w 178"/>
                                <a:gd name="T30" fmla="+- 0 622 516"/>
                                <a:gd name="T31" fmla="*/ 622 h 130"/>
                                <a:gd name="T32" fmla="+- 0 771 625"/>
                                <a:gd name="T33" fmla="*/ T32 w 178"/>
                                <a:gd name="T34" fmla="+- 0 639 516"/>
                                <a:gd name="T35" fmla="*/ 639 h 130"/>
                                <a:gd name="T36" fmla="+- 0 752 625"/>
                                <a:gd name="T37" fmla="*/ T36 w 178"/>
                                <a:gd name="T38" fmla="+- 0 657 516"/>
                                <a:gd name="T39" fmla="*/ 657 h 130"/>
                                <a:gd name="T40" fmla="+- 0 737 625"/>
                                <a:gd name="T41" fmla="*/ T40 w 178"/>
                                <a:gd name="T42" fmla="+- 0 664 516"/>
                                <a:gd name="T43" fmla="*/ 664 h 130"/>
                                <a:gd name="T44" fmla="+- 0 768 625"/>
                                <a:gd name="T45" fmla="*/ T44 w 178"/>
                                <a:gd name="T46" fmla="+- 0 664 516"/>
                                <a:gd name="T47" fmla="*/ 664 h 130"/>
                                <a:gd name="T48" fmla="+- 0 784 625"/>
                                <a:gd name="T49" fmla="*/ T48 w 178"/>
                                <a:gd name="T50" fmla="+- 0 651 516"/>
                                <a:gd name="T51" fmla="*/ 651 h 130"/>
                                <a:gd name="T52" fmla="+- 0 794 625"/>
                                <a:gd name="T53" fmla="*/ T52 w 178"/>
                                <a:gd name="T54" fmla="+- 0 635 516"/>
                                <a:gd name="T55" fmla="*/ 635 h 130"/>
                                <a:gd name="T56" fmla="+- 0 800 625"/>
                                <a:gd name="T57" fmla="*/ T56 w 178"/>
                                <a:gd name="T58" fmla="+- 0 616 516"/>
                                <a:gd name="T59" fmla="*/ 616 h 130"/>
                                <a:gd name="T60" fmla="+- 0 802 625"/>
                                <a:gd name="T61" fmla="*/ T60 w 178"/>
                                <a:gd name="T62" fmla="+- 0 593 516"/>
                                <a:gd name="T63" fmla="*/ 593 h 130"/>
                                <a:gd name="T64" fmla="+- 0 799 625"/>
                                <a:gd name="T65" fmla="*/ T64 w 178"/>
                                <a:gd name="T66" fmla="+- 0 573 516"/>
                                <a:gd name="T67" fmla="*/ 573 h 130"/>
                                <a:gd name="T68" fmla="+- 0 790 625"/>
                                <a:gd name="T69" fmla="*/ T68 w 178"/>
                                <a:gd name="T70" fmla="+- 0 555 516"/>
                                <a:gd name="T71" fmla="*/ 555 h 130"/>
                                <a:gd name="T72" fmla="+- 0 777 625"/>
                                <a:gd name="T73" fmla="*/ T72 w 178"/>
                                <a:gd name="T74" fmla="+- 0 539 516"/>
                                <a:gd name="T75" fmla="*/ 539 h 130"/>
                                <a:gd name="T76" fmla="+- 0 774 625"/>
                                <a:gd name="T77" fmla="*/ T76 w 178"/>
                                <a:gd name="T78" fmla="+- 0 537 516"/>
                                <a:gd name="T79" fmla="*/ 537 h 130"/>
                                <a:gd name="T80" fmla="+- 0 770 625"/>
                                <a:gd name="T81" fmla="*/ T80 w 178"/>
                                <a:gd name="T82" fmla="+- 0 534 516"/>
                                <a:gd name="T83" fmla="*/ 53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 h="130">
                                  <a:moveTo>
                                    <a:pt x="145" y="18"/>
                                  </a:moveTo>
                                  <a:lnTo>
                                    <a:pt x="111" y="18"/>
                                  </a:lnTo>
                                  <a:lnTo>
                                    <a:pt x="115" y="19"/>
                                  </a:lnTo>
                                  <a:lnTo>
                                    <a:pt x="132" y="30"/>
                                  </a:lnTo>
                                  <a:lnTo>
                                    <a:pt x="152" y="48"/>
                                  </a:lnTo>
                                  <a:lnTo>
                                    <a:pt x="159" y="66"/>
                                  </a:lnTo>
                                  <a:lnTo>
                                    <a:pt x="161" y="89"/>
                                  </a:lnTo>
                                  <a:lnTo>
                                    <a:pt x="157" y="106"/>
                                  </a:lnTo>
                                  <a:lnTo>
                                    <a:pt x="146" y="123"/>
                                  </a:lnTo>
                                  <a:lnTo>
                                    <a:pt x="127" y="141"/>
                                  </a:lnTo>
                                  <a:lnTo>
                                    <a:pt x="112" y="148"/>
                                  </a:lnTo>
                                  <a:lnTo>
                                    <a:pt x="143" y="148"/>
                                  </a:lnTo>
                                  <a:lnTo>
                                    <a:pt x="159" y="135"/>
                                  </a:lnTo>
                                  <a:lnTo>
                                    <a:pt x="169" y="119"/>
                                  </a:lnTo>
                                  <a:lnTo>
                                    <a:pt x="175" y="100"/>
                                  </a:lnTo>
                                  <a:lnTo>
                                    <a:pt x="177" y="77"/>
                                  </a:lnTo>
                                  <a:lnTo>
                                    <a:pt x="174" y="57"/>
                                  </a:lnTo>
                                  <a:lnTo>
                                    <a:pt x="165" y="39"/>
                                  </a:lnTo>
                                  <a:lnTo>
                                    <a:pt x="152" y="23"/>
                                  </a:lnTo>
                                  <a:lnTo>
                                    <a:pt x="149" y="21"/>
                                  </a:lnTo>
                                  <a:lnTo>
                                    <a:pt x="145"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4"/>
                          <wps:cNvSpPr>
                            <a:spLocks/>
                          </wps:cNvSpPr>
                          <wps:spPr bwMode="auto">
                            <a:xfrm>
                              <a:off x="625" y="516"/>
                              <a:ext cx="178" cy="130"/>
                            </a:xfrm>
                            <a:custGeom>
                              <a:avLst/>
                              <a:gdLst>
                                <a:gd name="T0" fmla="+- 0 700 625"/>
                                <a:gd name="T1" fmla="*/ T0 w 178"/>
                                <a:gd name="T2" fmla="+- 0 573 516"/>
                                <a:gd name="T3" fmla="*/ 573 h 130"/>
                                <a:gd name="T4" fmla="+- 0 682 625"/>
                                <a:gd name="T5" fmla="*/ T4 w 178"/>
                                <a:gd name="T6" fmla="+- 0 573 516"/>
                                <a:gd name="T7" fmla="*/ 573 h 130"/>
                                <a:gd name="T8" fmla="+- 0 675 625"/>
                                <a:gd name="T9" fmla="*/ T8 w 178"/>
                                <a:gd name="T10" fmla="+- 0 575 516"/>
                                <a:gd name="T11" fmla="*/ 575 h 130"/>
                                <a:gd name="T12" fmla="+- 0 665 625"/>
                                <a:gd name="T13" fmla="*/ T12 w 178"/>
                                <a:gd name="T14" fmla="+- 0 584 516"/>
                                <a:gd name="T15" fmla="*/ 584 h 130"/>
                                <a:gd name="T16" fmla="+- 0 663 625"/>
                                <a:gd name="T17" fmla="*/ T16 w 178"/>
                                <a:gd name="T18" fmla="+- 0 591 516"/>
                                <a:gd name="T19" fmla="*/ 591 h 130"/>
                                <a:gd name="T20" fmla="+- 0 663 625"/>
                                <a:gd name="T21" fmla="*/ T20 w 178"/>
                                <a:gd name="T22" fmla="+- 0 607 516"/>
                                <a:gd name="T23" fmla="*/ 607 h 130"/>
                                <a:gd name="T24" fmla="+- 0 665 625"/>
                                <a:gd name="T25" fmla="*/ T24 w 178"/>
                                <a:gd name="T26" fmla="+- 0 613 516"/>
                                <a:gd name="T27" fmla="*/ 613 h 130"/>
                                <a:gd name="T28" fmla="+- 0 675 625"/>
                                <a:gd name="T29" fmla="*/ T28 w 178"/>
                                <a:gd name="T30" fmla="+- 0 623 516"/>
                                <a:gd name="T31" fmla="*/ 623 h 130"/>
                                <a:gd name="T32" fmla="+- 0 681 625"/>
                                <a:gd name="T33" fmla="*/ T32 w 178"/>
                                <a:gd name="T34" fmla="+- 0 625 516"/>
                                <a:gd name="T35" fmla="*/ 625 h 130"/>
                                <a:gd name="T36" fmla="+- 0 700 625"/>
                                <a:gd name="T37" fmla="*/ T36 w 178"/>
                                <a:gd name="T38" fmla="+- 0 625 516"/>
                                <a:gd name="T39" fmla="*/ 625 h 130"/>
                                <a:gd name="T40" fmla="+- 0 708 625"/>
                                <a:gd name="T41" fmla="*/ T40 w 178"/>
                                <a:gd name="T42" fmla="+- 0 621 516"/>
                                <a:gd name="T43" fmla="*/ 621 h 130"/>
                                <a:gd name="T44" fmla="+- 0 712 625"/>
                                <a:gd name="T45" fmla="*/ T44 w 178"/>
                                <a:gd name="T46" fmla="+- 0 614 516"/>
                                <a:gd name="T47" fmla="*/ 614 h 130"/>
                                <a:gd name="T48" fmla="+- 0 683 625"/>
                                <a:gd name="T49" fmla="*/ T48 w 178"/>
                                <a:gd name="T50" fmla="+- 0 614 516"/>
                                <a:gd name="T51" fmla="*/ 614 h 130"/>
                                <a:gd name="T52" fmla="+- 0 679 625"/>
                                <a:gd name="T53" fmla="*/ T52 w 178"/>
                                <a:gd name="T54" fmla="+- 0 609 516"/>
                                <a:gd name="T55" fmla="*/ 609 h 130"/>
                                <a:gd name="T56" fmla="+- 0 679 625"/>
                                <a:gd name="T57" fmla="*/ T56 w 178"/>
                                <a:gd name="T58" fmla="+- 0 589 516"/>
                                <a:gd name="T59" fmla="*/ 589 h 130"/>
                                <a:gd name="T60" fmla="+- 0 683 625"/>
                                <a:gd name="T61" fmla="*/ T60 w 178"/>
                                <a:gd name="T62" fmla="+- 0 584 516"/>
                                <a:gd name="T63" fmla="*/ 584 h 130"/>
                                <a:gd name="T64" fmla="+- 0 712 625"/>
                                <a:gd name="T65" fmla="*/ T64 w 178"/>
                                <a:gd name="T66" fmla="+- 0 584 516"/>
                                <a:gd name="T67" fmla="*/ 584 h 130"/>
                                <a:gd name="T68" fmla="+- 0 708 625"/>
                                <a:gd name="T69" fmla="*/ T68 w 178"/>
                                <a:gd name="T70" fmla="+- 0 577 516"/>
                                <a:gd name="T71" fmla="*/ 577 h 130"/>
                                <a:gd name="T72" fmla="+- 0 700 625"/>
                                <a:gd name="T73" fmla="*/ T72 w 178"/>
                                <a:gd name="T74" fmla="+- 0 573 516"/>
                                <a:gd name="T75" fmla="*/ 5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8" h="130">
                                  <a:moveTo>
                                    <a:pt x="75" y="57"/>
                                  </a:moveTo>
                                  <a:lnTo>
                                    <a:pt x="57" y="57"/>
                                  </a:lnTo>
                                  <a:lnTo>
                                    <a:pt x="50" y="59"/>
                                  </a:lnTo>
                                  <a:lnTo>
                                    <a:pt x="40" y="68"/>
                                  </a:lnTo>
                                  <a:lnTo>
                                    <a:pt x="38" y="75"/>
                                  </a:lnTo>
                                  <a:lnTo>
                                    <a:pt x="38" y="91"/>
                                  </a:lnTo>
                                  <a:lnTo>
                                    <a:pt x="40" y="97"/>
                                  </a:lnTo>
                                  <a:lnTo>
                                    <a:pt x="50" y="107"/>
                                  </a:lnTo>
                                  <a:lnTo>
                                    <a:pt x="56" y="109"/>
                                  </a:lnTo>
                                  <a:lnTo>
                                    <a:pt x="75" y="109"/>
                                  </a:lnTo>
                                  <a:lnTo>
                                    <a:pt x="83" y="105"/>
                                  </a:lnTo>
                                  <a:lnTo>
                                    <a:pt x="87" y="98"/>
                                  </a:lnTo>
                                  <a:lnTo>
                                    <a:pt x="58" y="98"/>
                                  </a:lnTo>
                                  <a:lnTo>
                                    <a:pt x="54" y="93"/>
                                  </a:lnTo>
                                  <a:lnTo>
                                    <a:pt x="54" y="73"/>
                                  </a:lnTo>
                                  <a:lnTo>
                                    <a:pt x="58" y="68"/>
                                  </a:lnTo>
                                  <a:lnTo>
                                    <a:pt x="87" y="68"/>
                                  </a:lnTo>
                                  <a:lnTo>
                                    <a:pt x="83" y="61"/>
                                  </a:lnTo>
                                  <a:lnTo>
                                    <a:pt x="75"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
                          <wps:cNvSpPr>
                            <a:spLocks/>
                          </wps:cNvSpPr>
                          <wps:spPr bwMode="auto">
                            <a:xfrm>
                              <a:off x="625" y="516"/>
                              <a:ext cx="178" cy="130"/>
                            </a:xfrm>
                            <a:custGeom>
                              <a:avLst/>
                              <a:gdLst>
                                <a:gd name="T0" fmla="+- 0 751 625"/>
                                <a:gd name="T1" fmla="*/ T0 w 178"/>
                                <a:gd name="T2" fmla="+- 0 573 516"/>
                                <a:gd name="T3" fmla="*/ 573 h 130"/>
                                <a:gd name="T4" fmla="+- 0 733 625"/>
                                <a:gd name="T5" fmla="*/ T4 w 178"/>
                                <a:gd name="T6" fmla="+- 0 573 516"/>
                                <a:gd name="T7" fmla="*/ 573 h 130"/>
                                <a:gd name="T8" fmla="+- 0 727 625"/>
                                <a:gd name="T9" fmla="*/ T8 w 178"/>
                                <a:gd name="T10" fmla="+- 0 575 516"/>
                                <a:gd name="T11" fmla="*/ 575 h 130"/>
                                <a:gd name="T12" fmla="+- 0 717 625"/>
                                <a:gd name="T13" fmla="*/ T12 w 178"/>
                                <a:gd name="T14" fmla="+- 0 584 516"/>
                                <a:gd name="T15" fmla="*/ 584 h 130"/>
                                <a:gd name="T16" fmla="+- 0 715 625"/>
                                <a:gd name="T17" fmla="*/ T16 w 178"/>
                                <a:gd name="T18" fmla="+- 0 591 516"/>
                                <a:gd name="T19" fmla="*/ 591 h 130"/>
                                <a:gd name="T20" fmla="+- 0 715 625"/>
                                <a:gd name="T21" fmla="*/ T20 w 178"/>
                                <a:gd name="T22" fmla="+- 0 607 516"/>
                                <a:gd name="T23" fmla="*/ 607 h 130"/>
                                <a:gd name="T24" fmla="+- 0 717 625"/>
                                <a:gd name="T25" fmla="*/ T24 w 178"/>
                                <a:gd name="T26" fmla="+- 0 613 516"/>
                                <a:gd name="T27" fmla="*/ 613 h 130"/>
                                <a:gd name="T28" fmla="+- 0 727 625"/>
                                <a:gd name="T29" fmla="*/ T28 w 178"/>
                                <a:gd name="T30" fmla="+- 0 623 516"/>
                                <a:gd name="T31" fmla="*/ 623 h 130"/>
                                <a:gd name="T32" fmla="+- 0 733 625"/>
                                <a:gd name="T33" fmla="*/ T32 w 178"/>
                                <a:gd name="T34" fmla="+- 0 625 516"/>
                                <a:gd name="T35" fmla="*/ 625 h 130"/>
                                <a:gd name="T36" fmla="+- 0 751 625"/>
                                <a:gd name="T37" fmla="*/ T36 w 178"/>
                                <a:gd name="T38" fmla="+- 0 625 516"/>
                                <a:gd name="T39" fmla="*/ 625 h 130"/>
                                <a:gd name="T40" fmla="+- 0 759 625"/>
                                <a:gd name="T41" fmla="*/ T40 w 178"/>
                                <a:gd name="T42" fmla="+- 0 621 516"/>
                                <a:gd name="T43" fmla="*/ 621 h 130"/>
                                <a:gd name="T44" fmla="+- 0 763 625"/>
                                <a:gd name="T45" fmla="*/ T44 w 178"/>
                                <a:gd name="T46" fmla="+- 0 614 516"/>
                                <a:gd name="T47" fmla="*/ 614 h 130"/>
                                <a:gd name="T48" fmla="+- 0 734 625"/>
                                <a:gd name="T49" fmla="*/ T48 w 178"/>
                                <a:gd name="T50" fmla="+- 0 614 516"/>
                                <a:gd name="T51" fmla="*/ 614 h 130"/>
                                <a:gd name="T52" fmla="+- 0 730 625"/>
                                <a:gd name="T53" fmla="*/ T52 w 178"/>
                                <a:gd name="T54" fmla="+- 0 609 516"/>
                                <a:gd name="T55" fmla="*/ 609 h 130"/>
                                <a:gd name="T56" fmla="+- 0 730 625"/>
                                <a:gd name="T57" fmla="*/ T56 w 178"/>
                                <a:gd name="T58" fmla="+- 0 589 516"/>
                                <a:gd name="T59" fmla="*/ 589 h 130"/>
                                <a:gd name="T60" fmla="+- 0 734 625"/>
                                <a:gd name="T61" fmla="*/ T60 w 178"/>
                                <a:gd name="T62" fmla="+- 0 584 516"/>
                                <a:gd name="T63" fmla="*/ 584 h 130"/>
                                <a:gd name="T64" fmla="+- 0 763 625"/>
                                <a:gd name="T65" fmla="*/ T64 w 178"/>
                                <a:gd name="T66" fmla="+- 0 584 516"/>
                                <a:gd name="T67" fmla="*/ 584 h 130"/>
                                <a:gd name="T68" fmla="+- 0 759 625"/>
                                <a:gd name="T69" fmla="*/ T68 w 178"/>
                                <a:gd name="T70" fmla="+- 0 577 516"/>
                                <a:gd name="T71" fmla="*/ 577 h 130"/>
                                <a:gd name="T72" fmla="+- 0 751 625"/>
                                <a:gd name="T73" fmla="*/ T72 w 178"/>
                                <a:gd name="T74" fmla="+- 0 573 516"/>
                                <a:gd name="T75" fmla="*/ 5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8" h="130">
                                  <a:moveTo>
                                    <a:pt x="126" y="57"/>
                                  </a:moveTo>
                                  <a:lnTo>
                                    <a:pt x="108" y="57"/>
                                  </a:lnTo>
                                  <a:lnTo>
                                    <a:pt x="102" y="59"/>
                                  </a:lnTo>
                                  <a:lnTo>
                                    <a:pt x="92" y="68"/>
                                  </a:lnTo>
                                  <a:lnTo>
                                    <a:pt x="90" y="75"/>
                                  </a:lnTo>
                                  <a:lnTo>
                                    <a:pt x="90" y="91"/>
                                  </a:lnTo>
                                  <a:lnTo>
                                    <a:pt x="92" y="97"/>
                                  </a:lnTo>
                                  <a:lnTo>
                                    <a:pt x="102" y="107"/>
                                  </a:lnTo>
                                  <a:lnTo>
                                    <a:pt x="108" y="109"/>
                                  </a:lnTo>
                                  <a:lnTo>
                                    <a:pt x="126" y="109"/>
                                  </a:lnTo>
                                  <a:lnTo>
                                    <a:pt x="134" y="105"/>
                                  </a:lnTo>
                                  <a:lnTo>
                                    <a:pt x="138" y="98"/>
                                  </a:lnTo>
                                  <a:lnTo>
                                    <a:pt x="109" y="98"/>
                                  </a:lnTo>
                                  <a:lnTo>
                                    <a:pt x="105" y="93"/>
                                  </a:lnTo>
                                  <a:lnTo>
                                    <a:pt x="105" y="73"/>
                                  </a:lnTo>
                                  <a:lnTo>
                                    <a:pt x="109" y="68"/>
                                  </a:lnTo>
                                  <a:lnTo>
                                    <a:pt x="138" y="68"/>
                                  </a:lnTo>
                                  <a:lnTo>
                                    <a:pt x="134" y="61"/>
                                  </a:lnTo>
                                  <a:lnTo>
                                    <a:pt x="126"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
                          <wps:cNvSpPr>
                            <a:spLocks/>
                          </wps:cNvSpPr>
                          <wps:spPr bwMode="auto">
                            <a:xfrm>
                              <a:off x="625" y="516"/>
                              <a:ext cx="178" cy="130"/>
                            </a:xfrm>
                            <a:custGeom>
                              <a:avLst/>
                              <a:gdLst>
                                <a:gd name="T0" fmla="+- 0 702 625"/>
                                <a:gd name="T1" fmla="*/ T0 w 178"/>
                                <a:gd name="T2" fmla="+- 0 606 516"/>
                                <a:gd name="T3" fmla="*/ 606 h 130"/>
                                <a:gd name="T4" fmla="+- 0 700 625"/>
                                <a:gd name="T5" fmla="*/ T4 w 178"/>
                                <a:gd name="T6" fmla="+- 0 611 516"/>
                                <a:gd name="T7" fmla="*/ 611 h 130"/>
                                <a:gd name="T8" fmla="+- 0 696 625"/>
                                <a:gd name="T9" fmla="*/ T8 w 178"/>
                                <a:gd name="T10" fmla="+- 0 614 516"/>
                                <a:gd name="T11" fmla="*/ 614 h 130"/>
                                <a:gd name="T12" fmla="+- 0 712 625"/>
                                <a:gd name="T13" fmla="*/ T12 w 178"/>
                                <a:gd name="T14" fmla="+- 0 614 516"/>
                                <a:gd name="T15" fmla="*/ 614 h 130"/>
                                <a:gd name="T16" fmla="+- 0 713 625"/>
                                <a:gd name="T17" fmla="*/ T16 w 178"/>
                                <a:gd name="T18" fmla="+- 0 612 516"/>
                                <a:gd name="T19" fmla="*/ 612 h 130"/>
                                <a:gd name="T20" fmla="+- 0 702 625"/>
                                <a:gd name="T21" fmla="*/ T20 w 178"/>
                                <a:gd name="T22" fmla="+- 0 606 516"/>
                                <a:gd name="T23" fmla="*/ 606 h 130"/>
                              </a:gdLst>
                              <a:ahLst/>
                              <a:cxnLst>
                                <a:cxn ang="0">
                                  <a:pos x="T1" y="T3"/>
                                </a:cxn>
                                <a:cxn ang="0">
                                  <a:pos x="T5" y="T7"/>
                                </a:cxn>
                                <a:cxn ang="0">
                                  <a:pos x="T9" y="T11"/>
                                </a:cxn>
                                <a:cxn ang="0">
                                  <a:pos x="T13" y="T15"/>
                                </a:cxn>
                                <a:cxn ang="0">
                                  <a:pos x="T17" y="T19"/>
                                </a:cxn>
                                <a:cxn ang="0">
                                  <a:pos x="T21" y="T23"/>
                                </a:cxn>
                              </a:cxnLst>
                              <a:rect l="0" t="0" r="r" b="b"/>
                              <a:pathLst>
                                <a:path w="178" h="130">
                                  <a:moveTo>
                                    <a:pt x="77" y="90"/>
                                  </a:moveTo>
                                  <a:lnTo>
                                    <a:pt x="75" y="95"/>
                                  </a:lnTo>
                                  <a:lnTo>
                                    <a:pt x="71" y="98"/>
                                  </a:lnTo>
                                  <a:lnTo>
                                    <a:pt x="87" y="98"/>
                                  </a:lnTo>
                                  <a:lnTo>
                                    <a:pt x="88" y="96"/>
                                  </a:lnTo>
                                  <a:lnTo>
                                    <a:pt x="77" y="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
                          <wps:cNvSpPr>
                            <a:spLocks/>
                          </wps:cNvSpPr>
                          <wps:spPr bwMode="auto">
                            <a:xfrm>
                              <a:off x="625" y="516"/>
                              <a:ext cx="178" cy="130"/>
                            </a:xfrm>
                            <a:custGeom>
                              <a:avLst/>
                              <a:gdLst>
                                <a:gd name="T0" fmla="+- 0 753 625"/>
                                <a:gd name="T1" fmla="*/ T0 w 178"/>
                                <a:gd name="T2" fmla="+- 0 606 516"/>
                                <a:gd name="T3" fmla="*/ 606 h 130"/>
                                <a:gd name="T4" fmla="+- 0 751 625"/>
                                <a:gd name="T5" fmla="*/ T4 w 178"/>
                                <a:gd name="T6" fmla="+- 0 611 516"/>
                                <a:gd name="T7" fmla="*/ 611 h 130"/>
                                <a:gd name="T8" fmla="+- 0 747 625"/>
                                <a:gd name="T9" fmla="*/ T8 w 178"/>
                                <a:gd name="T10" fmla="+- 0 614 516"/>
                                <a:gd name="T11" fmla="*/ 614 h 130"/>
                                <a:gd name="T12" fmla="+- 0 763 625"/>
                                <a:gd name="T13" fmla="*/ T12 w 178"/>
                                <a:gd name="T14" fmla="+- 0 614 516"/>
                                <a:gd name="T15" fmla="*/ 614 h 130"/>
                                <a:gd name="T16" fmla="+- 0 764 625"/>
                                <a:gd name="T17" fmla="*/ T16 w 178"/>
                                <a:gd name="T18" fmla="+- 0 612 516"/>
                                <a:gd name="T19" fmla="*/ 612 h 130"/>
                                <a:gd name="T20" fmla="+- 0 753 625"/>
                                <a:gd name="T21" fmla="*/ T20 w 178"/>
                                <a:gd name="T22" fmla="+- 0 606 516"/>
                                <a:gd name="T23" fmla="*/ 606 h 130"/>
                              </a:gdLst>
                              <a:ahLst/>
                              <a:cxnLst>
                                <a:cxn ang="0">
                                  <a:pos x="T1" y="T3"/>
                                </a:cxn>
                                <a:cxn ang="0">
                                  <a:pos x="T5" y="T7"/>
                                </a:cxn>
                                <a:cxn ang="0">
                                  <a:pos x="T9" y="T11"/>
                                </a:cxn>
                                <a:cxn ang="0">
                                  <a:pos x="T13" y="T15"/>
                                </a:cxn>
                                <a:cxn ang="0">
                                  <a:pos x="T17" y="T19"/>
                                </a:cxn>
                                <a:cxn ang="0">
                                  <a:pos x="T21" y="T23"/>
                                </a:cxn>
                              </a:cxnLst>
                              <a:rect l="0" t="0" r="r" b="b"/>
                              <a:pathLst>
                                <a:path w="178" h="130">
                                  <a:moveTo>
                                    <a:pt x="128" y="90"/>
                                  </a:moveTo>
                                  <a:lnTo>
                                    <a:pt x="126" y="95"/>
                                  </a:lnTo>
                                  <a:lnTo>
                                    <a:pt x="122" y="98"/>
                                  </a:lnTo>
                                  <a:lnTo>
                                    <a:pt x="138" y="98"/>
                                  </a:lnTo>
                                  <a:lnTo>
                                    <a:pt x="139" y="96"/>
                                  </a:lnTo>
                                  <a:lnTo>
                                    <a:pt x="128" y="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
                          <wps:cNvSpPr>
                            <a:spLocks/>
                          </wps:cNvSpPr>
                          <wps:spPr bwMode="auto">
                            <a:xfrm>
                              <a:off x="625" y="516"/>
                              <a:ext cx="178" cy="130"/>
                            </a:xfrm>
                            <a:custGeom>
                              <a:avLst/>
                              <a:gdLst>
                                <a:gd name="T0" fmla="+- 0 712 625"/>
                                <a:gd name="T1" fmla="*/ T0 w 178"/>
                                <a:gd name="T2" fmla="+- 0 584 516"/>
                                <a:gd name="T3" fmla="*/ 584 h 130"/>
                                <a:gd name="T4" fmla="+- 0 695 625"/>
                                <a:gd name="T5" fmla="*/ T4 w 178"/>
                                <a:gd name="T6" fmla="+- 0 584 516"/>
                                <a:gd name="T7" fmla="*/ 584 h 130"/>
                                <a:gd name="T8" fmla="+- 0 699 625"/>
                                <a:gd name="T9" fmla="*/ T8 w 178"/>
                                <a:gd name="T10" fmla="+- 0 586 516"/>
                                <a:gd name="T11" fmla="*/ 586 h 130"/>
                                <a:gd name="T12" fmla="+- 0 701 625"/>
                                <a:gd name="T13" fmla="*/ T12 w 178"/>
                                <a:gd name="T14" fmla="+- 0 591 516"/>
                                <a:gd name="T15" fmla="*/ 591 h 130"/>
                                <a:gd name="T16" fmla="+- 0 713 625"/>
                                <a:gd name="T17" fmla="*/ T16 w 178"/>
                                <a:gd name="T18" fmla="+- 0 585 516"/>
                                <a:gd name="T19" fmla="*/ 585 h 130"/>
                                <a:gd name="T20" fmla="+- 0 712 625"/>
                                <a:gd name="T21" fmla="*/ T20 w 178"/>
                                <a:gd name="T22" fmla="+- 0 584 516"/>
                                <a:gd name="T23" fmla="*/ 584 h 130"/>
                              </a:gdLst>
                              <a:ahLst/>
                              <a:cxnLst>
                                <a:cxn ang="0">
                                  <a:pos x="T1" y="T3"/>
                                </a:cxn>
                                <a:cxn ang="0">
                                  <a:pos x="T5" y="T7"/>
                                </a:cxn>
                                <a:cxn ang="0">
                                  <a:pos x="T9" y="T11"/>
                                </a:cxn>
                                <a:cxn ang="0">
                                  <a:pos x="T13" y="T15"/>
                                </a:cxn>
                                <a:cxn ang="0">
                                  <a:pos x="T17" y="T19"/>
                                </a:cxn>
                                <a:cxn ang="0">
                                  <a:pos x="T21" y="T23"/>
                                </a:cxn>
                              </a:cxnLst>
                              <a:rect l="0" t="0" r="r" b="b"/>
                              <a:pathLst>
                                <a:path w="178" h="130">
                                  <a:moveTo>
                                    <a:pt x="87" y="68"/>
                                  </a:moveTo>
                                  <a:lnTo>
                                    <a:pt x="70" y="68"/>
                                  </a:lnTo>
                                  <a:lnTo>
                                    <a:pt x="74" y="70"/>
                                  </a:lnTo>
                                  <a:lnTo>
                                    <a:pt x="76" y="75"/>
                                  </a:lnTo>
                                  <a:lnTo>
                                    <a:pt x="88" y="69"/>
                                  </a:lnTo>
                                  <a:lnTo>
                                    <a:pt x="87"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9"/>
                          <wps:cNvSpPr>
                            <a:spLocks/>
                          </wps:cNvSpPr>
                          <wps:spPr bwMode="auto">
                            <a:xfrm>
                              <a:off x="625" y="516"/>
                              <a:ext cx="178" cy="130"/>
                            </a:xfrm>
                            <a:custGeom>
                              <a:avLst/>
                              <a:gdLst>
                                <a:gd name="T0" fmla="+- 0 763 625"/>
                                <a:gd name="T1" fmla="*/ T0 w 178"/>
                                <a:gd name="T2" fmla="+- 0 584 516"/>
                                <a:gd name="T3" fmla="*/ 584 h 130"/>
                                <a:gd name="T4" fmla="+- 0 747 625"/>
                                <a:gd name="T5" fmla="*/ T4 w 178"/>
                                <a:gd name="T6" fmla="+- 0 584 516"/>
                                <a:gd name="T7" fmla="*/ 584 h 130"/>
                                <a:gd name="T8" fmla="+- 0 750 625"/>
                                <a:gd name="T9" fmla="*/ T8 w 178"/>
                                <a:gd name="T10" fmla="+- 0 586 516"/>
                                <a:gd name="T11" fmla="*/ 586 h 130"/>
                                <a:gd name="T12" fmla="+- 0 752 625"/>
                                <a:gd name="T13" fmla="*/ T12 w 178"/>
                                <a:gd name="T14" fmla="+- 0 591 516"/>
                                <a:gd name="T15" fmla="*/ 591 h 130"/>
                                <a:gd name="T16" fmla="+- 0 764 625"/>
                                <a:gd name="T17" fmla="*/ T16 w 178"/>
                                <a:gd name="T18" fmla="+- 0 585 516"/>
                                <a:gd name="T19" fmla="*/ 585 h 130"/>
                                <a:gd name="T20" fmla="+- 0 763 625"/>
                                <a:gd name="T21" fmla="*/ T20 w 178"/>
                                <a:gd name="T22" fmla="+- 0 584 516"/>
                                <a:gd name="T23" fmla="*/ 584 h 130"/>
                              </a:gdLst>
                              <a:ahLst/>
                              <a:cxnLst>
                                <a:cxn ang="0">
                                  <a:pos x="T1" y="T3"/>
                                </a:cxn>
                                <a:cxn ang="0">
                                  <a:pos x="T5" y="T7"/>
                                </a:cxn>
                                <a:cxn ang="0">
                                  <a:pos x="T9" y="T11"/>
                                </a:cxn>
                                <a:cxn ang="0">
                                  <a:pos x="T13" y="T15"/>
                                </a:cxn>
                                <a:cxn ang="0">
                                  <a:pos x="T17" y="T19"/>
                                </a:cxn>
                                <a:cxn ang="0">
                                  <a:pos x="T21" y="T23"/>
                                </a:cxn>
                              </a:cxnLst>
                              <a:rect l="0" t="0" r="r" b="b"/>
                              <a:pathLst>
                                <a:path w="178" h="130">
                                  <a:moveTo>
                                    <a:pt x="138" y="68"/>
                                  </a:moveTo>
                                  <a:lnTo>
                                    <a:pt x="122" y="68"/>
                                  </a:lnTo>
                                  <a:lnTo>
                                    <a:pt x="125" y="70"/>
                                  </a:lnTo>
                                  <a:lnTo>
                                    <a:pt x="127" y="75"/>
                                  </a:lnTo>
                                  <a:lnTo>
                                    <a:pt x="139" y="69"/>
                                  </a:lnTo>
                                  <a:lnTo>
                                    <a:pt x="138"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0"/>
                        <wpg:cNvGrpSpPr>
                          <a:grpSpLocks/>
                        </wpg:cNvGrpSpPr>
                        <wpg:grpSpPr bwMode="auto">
                          <a:xfrm>
                            <a:off x="877" y="547"/>
                            <a:ext cx="484" cy="68"/>
                            <a:chOff x="877" y="547"/>
                            <a:chExt cx="484" cy="68"/>
                          </a:xfrm>
                        </wpg:grpSpPr>
                        <wps:wsp>
                          <wps:cNvPr id="71" name="Freeform 21"/>
                          <wps:cNvSpPr>
                            <a:spLocks/>
                          </wps:cNvSpPr>
                          <wps:spPr bwMode="auto">
                            <a:xfrm>
                              <a:off x="877" y="547"/>
                              <a:ext cx="484" cy="68"/>
                            </a:xfrm>
                            <a:custGeom>
                              <a:avLst/>
                              <a:gdLst>
                                <a:gd name="T0" fmla="+- 0 1335 877"/>
                                <a:gd name="T1" fmla="*/ T0 w 484"/>
                                <a:gd name="T2" fmla="+- 0 549 547"/>
                                <a:gd name="T3" fmla="*/ 549 h 68"/>
                                <a:gd name="T4" fmla="+- 0 1314 877"/>
                                <a:gd name="T5" fmla="*/ T4 w 484"/>
                                <a:gd name="T6" fmla="+- 0 549 547"/>
                                <a:gd name="T7" fmla="*/ 549 h 68"/>
                                <a:gd name="T8" fmla="+- 0 1288 877"/>
                                <a:gd name="T9" fmla="*/ T8 w 484"/>
                                <a:gd name="T10" fmla="+- 0 614 547"/>
                                <a:gd name="T11" fmla="*/ 614 h 68"/>
                                <a:gd name="T12" fmla="+- 0 1306 877"/>
                                <a:gd name="T13" fmla="*/ T12 w 484"/>
                                <a:gd name="T14" fmla="+- 0 614 547"/>
                                <a:gd name="T15" fmla="*/ 614 h 68"/>
                                <a:gd name="T16" fmla="+- 0 1310 877"/>
                                <a:gd name="T17" fmla="*/ T16 w 484"/>
                                <a:gd name="T18" fmla="+- 0 602 547"/>
                                <a:gd name="T19" fmla="*/ 602 h 68"/>
                                <a:gd name="T20" fmla="+- 0 1356 877"/>
                                <a:gd name="T21" fmla="*/ T20 w 484"/>
                                <a:gd name="T22" fmla="+- 0 602 547"/>
                                <a:gd name="T23" fmla="*/ 602 h 68"/>
                                <a:gd name="T24" fmla="+- 0 1351 877"/>
                                <a:gd name="T25" fmla="*/ T24 w 484"/>
                                <a:gd name="T26" fmla="+- 0 590 547"/>
                                <a:gd name="T27" fmla="*/ 590 h 68"/>
                                <a:gd name="T28" fmla="+- 0 1315 877"/>
                                <a:gd name="T29" fmla="*/ T28 w 484"/>
                                <a:gd name="T30" fmla="+- 0 590 547"/>
                                <a:gd name="T31" fmla="*/ 590 h 68"/>
                                <a:gd name="T32" fmla="+- 0 1324 877"/>
                                <a:gd name="T33" fmla="*/ T32 w 484"/>
                                <a:gd name="T34" fmla="+- 0 564 547"/>
                                <a:gd name="T35" fmla="*/ 564 h 68"/>
                                <a:gd name="T36" fmla="+- 0 1341 877"/>
                                <a:gd name="T37" fmla="*/ T36 w 484"/>
                                <a:gd name="T38" fmla="+- 0 564 547"/>
                                <a:gd name="T39" fmla="*/ 564 h 68"/>
                                <a:gd name="T40" fmla="+- 0 1335 877"/>
                                <a:gd name="T41" fmla="*/ T40 w 484"/>
                                <a:gd name="T42" fmla="+- 0 549 547"/>
                                <a:gd name="T43" fmla="*/ 54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4" h="68">
                                  <a:moveTo>
                                    <a:pt x="458" y="2"/>
                                  </a:moveTo>
                                  <a:lnTo>
                                    <a:pt x="437" y="2"/>
                                  </a:lnTo>
                                  <a:lnTo>
                                    <a:pt x="411" y="67"/>
                                  </a:lnTo>
                                  <a:lnTo>
                                    <a:pt x="429" y="67"/>
                                  </a:lnTo>
                                  <a:lnTo>
                                    <a:pt x="433" y="55"/>
                                  </a:lnTo>
                                  <a:lnTo>
                                    <a:pt x="479" y="55"/>
                                  </a:lnTo>
                                  <a:lnTo>
                                    <a:pt x="474" y="43"/>
                                  </a:lnTo>
                                  <a:lnTo>
                                    <a:pt x="438" y="43"/>
                                  </a:lnTo>
                                  <a:lnTo>
                                    <a:pt x="447" y="17"/>
                                  </a:lnTo>
                                  <a:lnTo>
                                    <a:pt x="464" y="17"/>
                                  </a:lnTo>
                                  <a:lnTo>
                                    <a:pt x="458"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2"/>
                          <wps:cNvSpPr>
                            <a:spLocks/>
                          </wps:cNvSpPr>
                          <wps:spPr bwMode="auto">
                            <a:xfrm>
                              <a:off x="877" y="547"/>
                              <a:ext cx="484" cy="68"/>
                            </a:xfrm>
                            <a:custGeom>
                              <a:avLst/>
                              <a:gdLst>
                                <a:gd name="T0" fmla="+- 0 1356 877"/>
                                <a:gd name="T1" fmla="*/ T0 w 484"/>
                                <a:gd name="T2" fmla="+- 0 602 547"/>
                                <a:gd name="T3" fmla="*/ 602 h 68"/>
                                <a:gd name="T4" fmla="+- 0 1338 877"/>
                                <a:gd name="T5" fmla="*/ T4 w 484"/>
                                <a:gd name="T6" fmla="+- 0 602 547"/>
                                <a:gd name="T7" fmla="*/ 602 h 68"/>
                                <a:gd name="T8" fmla="+- 0 1343 877"/>
                                <a:gd name="T9" fmla="*/ T8 w 484"/>
                                <a:gd name="T10" fmla="+- 0 614 547"/>
                                <a:gd name="T11" fmla="*/ 614 h 68"/>
                                <a:gd name="T12" fmla="+- 0 1361 877"/>
                                <a:gd name="T13" fmla="*/ T12 w 484"/>
                                <a:gd name="T14" fmla="+- 0 614 547"/>
                                <a:gd name="T15" fmla="*/ 614 h 68"/>
                                <a:gd name="T16" fmla="+- 0 1356 877"/>
                                <a:gd name="T17" fmla="*/ T16 w 484"/>
                                <a:gd name="T18" fmla="+- 0 602 547"/>
                                <a:gd name="T19" fmla="*/ 602 h 68"/>
                              </a:gdLst>
                              <a:ahLst/>
                              <a:cxnLst>
                                <a:cxn ang="0">
                                  <a:pos x="T1" y="T3"/>
                                </a:cxn>
                                <a:cxn ang="0">
                                  <a:pos x="T5" y="T7"/>
                                </a:cxn>
                                <a:cxn ang="0">
                                  <a:pos x="T9" y="T11"/>
                                </a:cxn>
                                <a:cxn ang="0">
                                  <a:pos x="T13" y="T15"/>
                                </a:cxn>
                                <a:cxn ang="0">
                                  <a:pos x="T17" y="T19"/>
                                </a:cxn>
                              </a:cxnLst>
                              <a:rect l="0" t="0" r="r" b="b"/>
                              <a:pathLst>
                                <a:path w="484" h="68">
                                  <a:moveTo>
                                    <a:pt x="479" y="55"/>
                                  </a:moveTo>
                                  <a:lnTo>
                                    <a:pt x="461" y="55"/>
                                  </a:lnTo>
                                  <a:lnTo>
                                    <a:pt x="466" y="67"/>
                                  </a:lnTo>
                                  <a:lnTo>
                                    <a:pt x="484" y="67"/>
                                  </a:lnTo>
                                  <a:lnTo>
                                    <a:pt x="479"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3"/>
                          <wps:cNvSpPr>
                            <a:spLocks/>
                          </wps:cNvSpPr>
                          <wps:spPr bwMode="auto">
                            <a:xfrm>
                              <a:off x="877" y="547"/>
                              <a:ext cx="484" cy="68"/>
                            </a:xfrm>
                            <a:custGeom>
                              <a:avLst/>
                              <a:gdLst>
                                <a:gd name="T0" fmla="+- 0 1341 877"/>
                                <a:gd name="T1" fmla="*/ T0 w 484"/>
                                <a:gd name="T2" fmla="+- 0 564 547"/>
                                <a:gd name="T3" fmla="*/ 564 h 68"/>
                                <a:gd name="T4" fmla="+- 0 1324 877"/>
                                <a:gd name="T5" fmla="*/ T4 w 484"/>
                                <a:gd name="T6" fmla="+- 0 564 547"/>
                                <a:gd name="T7" fmla="*/ 564 h 68"/>
                                <a:gd name="T8" fmla="+- 0 1334 877"/>
                                <a:gd name="T9" fmla="*/ T8 w 484"/>
                                <a:gd name="T10" fmla="+- 0 590 547"/>
                                <a:gd name="T11" fmla="*/ 590 h 68"/>
                                <a:gd name="T12" fmla="+- 0 1351 877"/>
                                <a:gd name="T13" fmla="*/ T12 w 484"/>
                                <a:gd name="T14" fmla="+- 0 590 547"/>
                                <a:gd name="T15" fmla="*/ 590 h 68"/>
                                <a:gd name="T16" fmla="+- 0 1341 877"/>
                                <a:gd name="T17" fmla="*/ T16 w 484"/>
                                <a:gd name="T18" fmla="+- 0 564 547"/>
                                <a:gd name="T19" fmla="*/ 564 h 68"/>
                              </a:gdLst>
                              <a:ahLst/>
                              <a:cxnLst>
                                <a:cxn ang="0">
                                  <a:pos x="T1" y="T3"/>
                                </a:cxn>
                                <a:cxn ang="0">
                                  <a:pos x="T5" y="T7"/>
                                </a:cxn>
                                <a:cxn ang="0">
                                  <a:pos x="T9" y="T11"/>
                                </a:cxn>
                                <a:cxn ang="0">
                                  <a:pos x="T13" y="T15"/>
                                </a:cxn>
                                <a:cxn ang="0">
                                  <a:pos x="T17" y="T19"/>
                                </a:cxn>
                              </a:cxnLst>
                              <a:rect l="0" t="0" r="r" b="b"/>
                              <a:pathLst>
                                <a:path w="484" h="68">
                                  <a:moveTo>
                                    <a:pt x="464" y="17"/>
                                  </a:moveTo>
                                  <a:lnTo>
                                    <a:pt x="447" y="17"/>
                                  </a:lnTo>
                                  <a:lnTo>
                                    <a:pt x="457" y="43"/>
                                  </a:lnTo>
                                  <a:lnTo>
                                    <a:pt x="474" y="43"/>
                                  </a:lnTo>
                                  <a:lnTo>
                                    <a:pt x="46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4"/>
                          <wps:cNvSpPr>
                            <a:spLocks/>
                          </wps:cNvSpPr>
                          <wps:spPr bwMode="auto">
                            <a:xfrm>
                              <a:off x="877" y="547"/>
                              <a:ext cx="484" cy="68"/>
                            </a:xfrm>
                            <a:custGeom>
                              <a:avLst/>
                              <a:gdLst>
                                <a:gd name="T0" fmla="+- 0 1227 877"/>
                                <a:gd name="T1" fmla="*/ T0 w 484"/>
                                <a:gd name="T2" fmla="+- 0 596 547"/>
                                <a:gd name="T3" fmla="*/ 596 h 68"/>
                                <a:gd name="T4" fmla="+- 0 1227 877"/>
                                <a:gd name="T5" fmla="*/ T4 w 484"/>
                                <a:gd name="T6" fmla="+- 0 610 547"/>
                                <a:gd name="T7" fmla="*/ 610 h 68"/>
                                <a:gd name="T8" fmla="+- 0 1231 877"/>
                                <a:gd name="T9" fmla="*/ T8 w 484"/>
                                <a:gd name="T10" fmla="+- 0 612 547"/>
                                <a:gd name="T11" fmla="*/ 612 h 68"/>
                                <a:gd name="T12" fmla="+- 0 1235 877"/>
                                <a:gd name="T13" fmla="*/ T12 w 484"/>
                                <a:gd name="T14" fmla="+- 0 613 547"/>
                                <a:gd name="T15" fmla="*/ 613 h 68"/>
                                <a:gd name="T16" fmla="+- 0 1244 877"/>
                                <a:gd name="T17" fmla="*/ T16 w 484"/>
                                <a:gd name="T18" fmla="+- 0 614 547"/>
                                <a:gd name="T19" fmla="*/ 614 h 68"/>
                                <a:gd name="T20" fmla="+- 0 1249 877"/>
                                <a:gd name="T21" fmla="*/ T20 w 484"/>
                                <a:gd name="T22" fmla="+- 0 615 547"/>
                                <a:gd name="T23" fmla="*/ 615 h 68"/>
                                <a:gd name="T24" fmla="+- 0 1262 877"/>
                                <a:gd name="T25" fmla="*/ T24 w 484"/>
                                <a:gd name="T26" fmla="+- 0 615 547"/>
                                <a:gd name="T27" fmla="*/ 615 h 68"/>
                                <a:gd name="T28" fmla="+- 0 1269 877"/>
                                <a:gd name="T29" fmla="*/ T28 w 484"/>
                                <a:gd name="T30" fmla="+- 0 613 547"/>
                                <a:gd name="T31" fmla="*/ 613 h 68"/>
                                <a:gd name="T32" fmla="+- 0 1278 877"/>
                                <a:gd name="T33" fmla="*/ T32 w 484"/>
                                <a:gd name="T34" fmla="+- 0 606 547"/>
                                <a:gd name="T35" fmla="*/ 606 h 68"/>
                                <a:gd name="T36" fmla="+- 0 1280 877"/>
                                <a:gd name="T37" fmla="*/ T36 w 484"/>
                                <a:gd name="T38" fmla="+- 0 603 547"/>
                                <a:gd name="T39" fmla="*/ 603 h 68"/>
                                <a:gd name="T40" fmla="+- 0 1247 877"/>
                                <a:gd name="T41" fmla="*/ T40 w 484"/>
                                <a:gd name="T42" fmla="+- 0 603 547"/>
                                <a:gd name="T43" fmla="*/ 603 h 68"/>
                                <a:gd name="T44" fmla="+- 0 1243 877"/>
                                <a:gd name="T45" fmla="*/ T44 w 484"/>
                                <a:gd name="T46" fmla="+- 0 602 547"/>
                                <a:gd name="T47" fmla="*/ 602 h 68"/>
                                <a:gd name="T48" fmla="+- 0 1235 877"/>
                                <a:gd name="T49" fmla="*/ T48 w 484"/>
                                <a:gd name="T50" fmla="+- 0 600 547"/>
                                <a:gd name="T51" fmla="*/ 600 h 68"/>
                                <a:gd name="T52" fmla="+- 0 1231 877"/>
                                <a:gd name="T53" fmla="*/ T52 w 484"/>
                                <a:gd name="T54" fmla="+- 0 598 547"/>
                                <a:gd name="T55" fmla="*/ 598 h 68"/>
                                <a:gd name="T56" fmla="+- 0 1227 877"/>
                                <a:gd name="T57" fmla="*/ T56 w 484"/>
                                <a:gd name="T58" fmla="+- 0 596 547"/>
                                <a:gd name="T59" fmla="*/ 59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4" h="68">
                                  <a:moveTo>
                                    <a:pt x="350" y="49"/>
                                  </a:moveTo>
                                  <a:lnTo>
                                    <a:pt x="350" y="63"/>
                                  </a:lnTo>
                                  <a:lnTo>
                                    <a:pt x="354" y="65"/>
                                  </a:lnTo>
                                  <a:lnTo>
                                    <a:pt x="358" y="66"/>
                                  </a:lnTo>
                                  <a:lnTo>
                                    <a:pt x="367" y="67"/>
                                  </a:lnTo>
                                  <a:lnTo>
                                    <a:pt x="372" y="68"/>
                                  </a:lnTo>
                                  <a:lnTo>
                                    <a:pt x="385" y="68"/>
                                  </a:lnTo>
                                  <a:lnTo>
                                    <a:pt x="392" y="66"/>
                                  </a:lnTo>
                                  <a:lnTo>
                                    <a:pt x="401" y="59"/>
                                  </a:lnTo>
                                  <a:lnTo>
                                    <a:pt x="403" y="56"/>
                                  </a:lnTo>
                                  <a:lnTo>
                                    <a:pt x="370" y="56"/>
                                  </a:lnTo>
                                  <a:lnTo>
                                    <a:pt x="366" y="55"/>
                                  </a:lnTo>
                                  <a:lnTo>
                                    <a:pt x="358" y="53"/>
                                  </a:lnTo>
                                  <a:lnTo>
                                    <a:pt x="354" y="51"/>
                                  </a:lnTo>
                                  <a:lnTo>
                                    <a:pt x="350" y="4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5"/>
                          <wps:cNvSpPr>
                            <a:spLocks/>
                          </wps:cNvSpPr>
                          <wps:spPr bwMode="auto">
                            <a:xfrm>
                              <a:off x="877" y="547"/>
                              <a:ext cx="484" cy="68"/>
                            </a:xfrm>
                            <a:custGeom>
                              <a:avLst/>
                              <a:gdLst>
                                <a:gd name="T0" fmla="+- 0 1256 877"/>
                                <a:gd name="T1" fmla="*/ T0 w 484"/>
                                <a:gd name="T2" fmla="+- 0 547 547"/>
                                <a:gd name="T3" fmla="*/ 547 h 68"/>
                                <a:gd name="T4" fmla="+- 0 1243 877"/>
                                <a:gd name="T5" fmla="*/ T4 w 484"/>
                                <a:gd name="T6" fmla="+- 0 547 547"/>
                                <a:gd name="T7" fmla="*/ 547 h 68"/>
                                <a:gd name="T8" fmla="+- 0 1237 877"/>
                                <a:gd name="T9" fmla="*/ T8 w 484"/>
                                <a:gd name="T10" fmla="+- 0 549 547"/>
                                <a:gd name="T11" fmla="*/ 549 h 68"/>
                                <a:gd name="T12" fmla="+- 0 1228 877"/>
                                <a:gd name="T13" fmla="*/ T12 w 484"/>
                                <a:gd name="T14" fmla="+- 0 556 547"/>
                                <a:gd name="T15" fmla="*/ 556 h 68"/>
                                <a:gd name="T16" fmla="+- 0 1226 877"/>
                                <a:gd name="T17" fmla="*/ T16 w 484"/>
                                <a:gd name="T18" fmla="+- 0 561 547"/>
                                <a:gd name="T19" fmla="*/ 561 h 68"/>
                                <a:gd name="T20" fmla="+- 0 1226 877"/>
                                <a:gd name="T21" fmla="*/ T20 w 484"/>
                                <a:gd name="T22" fmla="+- 0 573 547"/>
                                <a:gd name="T23" fmla="*/ 573 h 68"/>
                                <a:gd name="T24" fmla="+- 0 1228 877"/>
                                <a:gd name="T25" fmla="*/ T24 w 484"/>
                                <a:gd name="T26" fmla="+- 0 577 547"/>
                                <a:gd name="T27" fmla="*/ 577 h 68"/>
                                <a:gd name="T28" fmla="+- 0 1234 877"/>
                                <a:gd name="T29" fmla="*/ T28 w 484"/>
                                <a:gd name="T30" fmla="+- 0 583 547"/>
                                <a:gd name="T31" fmla="*/ 583 h 68"/>
                                <a:gd name="T32" fmla="+- 0 1239 877"/>
                                <a:gd name="T33" fmla="*/ T32 w 484"/>
                                <a:gd name="T34" fmla="+- 0 585 547"/>
                                <a:gd name="T35" fmla="*/ 585 h 68"/>
                                <a:gd name="T36" fmla="+- 0 1257 877"/>
                                <a:gd name="T37" fmla="*/ T36 w 484"/>
                                <a:gd name="T38" fmla="+- 0 589 547"/>
                                <a:gd name="T39" fmla="*/ 589 h 68"/>
                                <a:gd name="T40" fmla="+- 0 1260 877"/>
                                <a:gd name="T41" fmla="*/ T40 w 484"/>
                                <a:gd name="T42" fmla="+- 0 590 547"/>
                                <a:gd name="T43" fmla="*/ 590 h 68"/>
                                <a:gd name="T44" fmla="+- 0 1263 877"/>
                                <a:gd name="T45" fmla="*/ T44 w 484"/>
                                <a:gd name="T46" fmla="+- 0 592 547"/>
                                <a:gd name="T47" fmla="*/ 592 h 68"/>
                                <a:gd name="T48" fmla="+- 0 1263 877"/>
                                <a:gd name="T49" fmla="*/ T48 w 484"/>
                                <a:gd name="T50" fmla="+- 0 594 547"/>
                                <a:gd name="T51" fmla="*/ 594 h 68"/>
                                <a:gd name="T52" fmla="+- 0 1263 877"/>
                                <a:gd name="T53" fmla="*/ T52 w 484"/>
                                <a:gd name="T54" fmla="+- 0 598 547"/>
                                <a:gd name="T55" fmla="*/ 598 h 68"/>
                                <a:gd name="T56" fmla="+- 0 1262 877"/>
                                <a:gd name="T57" fmla="*/ T56 w 484"/>
                                <a:gd name="T58" fmla="+- 0 600 547"/>
                                <a:gd name="T59" fmla="*/ 600 h 68"/>
                                <a:gd name="T60" fmla="+- 0 1258 877"/>
                                <a:gd name="T61" fmla="*/ T60 w 484"/>
                                <a:gd name="T62" fmla="+- 0 602 547"/>
                                <a:gd name="T63" fmla="*/ 602 h 68"/>
                                <a:gd name="T64" fmla="+- 0 1255 877"/>
                                <a:gd name="T65" fmla="*/ T64 w 484"/>
                                <a:gd name="T66" fmla="+- 0 603 547"/>
                                <a:gd name="T67" fmla="*/ 603 h 68"/>
                                <a:gd name="T68" fmla="+- 0 1280 877"/>
                                <a:gd name="T69" fmla="*/ T68 w 484"/>
                                <a:gd name="T70" fmla="+- 0 603 547"/>
                                <a:gd name="T71" fmla="*/ 603 h 68"/>
                                <a:gd name="T72" fmla="+- 0 1281 877"/>
                                <a:gd name="T73" fmla="*/ T72 w 484"/>
                                <a:gd name="T74" fmla="+- 0 601 547"/>
                                <a:gd name="T75" fmla="*/ 601 h 68"/>
                                <a:gd name="T76" fmla="+- 0 1281 877"/>
                                <a:gd name="T77" fmla="*/ T76 w 484"/>
                                <a:gd name="T78" fmla="+- 0 588 547"/>
                                <a:gd name="T79" fmla="*/ 588 h 68"/>
                                <a:gd name="T80" fmla="+- 0 1279 877"/>
                                <a:gd name="T81" fmla="*/ T80 w 484"/>
                                <a:gd name="T82" fmla="+- 0 584 547"/>
                                <a:gd name="T83" fmla="*/ 584 h 68"/>
                                <a:gd name="T84" fmla="+- 0 1272 877"/>
                                <a:gd name="T85" fmla="*/ T84 w 484"/>
                                <a:gd name="T86" fmla="+- 0 578 547"/>
                                <a:gd name="T87" fmla="*/ 578 h 68"/>
                                <a:gd name="T88" fmla="+- 0 1267 877"/>
                                <a:gd name="T89" fmla="*/ T88 w 484"/>
                                <a:gd name="T90" fmla="+- 0 576 547"/>
                                <a:gd name="T91" fmla="*/ 576 h 68"/>
                                <a:gd name="T92" fmla="+- 0 1248 877"/>
                                <a:gd name="T93" fmla="*/ T92 w 484"/>
                                <a:gd name="T94" fmla="+- 0 572 547"/>
                                <a:gd name="T95" fmla="*/ 572 h 68"/>
                                <a:gd name="T96" fmla="+- 0 1246 877"/>
                                <a:gd name="T97" fmla="*/ T96 w 484"/>
                                <a:gd name="T98" fmla="+- 0 571 547"/>
                                <a:gd name="T99" fmla="*/ 571 h 68"/>
                                <a:gd name="T100" fmla="+- 0 1243 877"/>
                                <a:gd name="T101" fmla="*/ T100 w 484"/>
                                <a:gd name="T102" fmla="+- 0 569 547"/>
                                <a:gd name="T103" fmla="*/ 569 h 68"/>
                                <a:gd name="T104" fmla="+- 0 1242 877"/>
                                <a:gd name="T105" fmla="*/ T104 w 484"/>
                                <a:gd name="T106" fmla="+- 0 568 547"/>
                                <a:gd name="T107" fmla="*/ 568 h 68"/>
                                <a:gd name="T108" fmla="+- 0 1242 877"/>
                                <a:gd name="T109" fmla="*/ T108 w 484"/>
                                <a:gd name="T110" fmla="+- 0 564 547"/>
                                <a:gd name="T111" fmla="*/ 564 h 68"/>
                                <a:gd name="T112" fmla="+- 0 1243 877"/>
                                <a:gd name="T113" fmla="*/ T112 w 484"/>
                                <a:gd name="T114" fmla="+- 0 562 547"/>
                                <a:gd name="T115" fmla="*/ 562 h 68"/>
                                <a:gd name="T116" fmla="+- 0 1247 877"/>
                                <a:gd name="T117" fmla="*/ T116 w 484"/>
                                <a:gd name="T118" fmla="+- 0 560 547"/>
                                <a:gd name="T119" fmla="*/ 560 h 68"/>
                                <a:gd name="T120" fmla="+- 0 1250 877"/>
                                <a:gd name="T121" fmla="*/ T120 w 484"/>
                                <a:gd name="T122" fmla="+- 0 559 547"/>
                                <a:gd name="T123" fmla="*/ 559 h 68"/>
                                <a:gd name="T124" fmla="+- 0 1276 877"/>
                                <a:gd name="T125" fmla="*/ T124 w 484"/>
                                <a:gd name="T126" fmla="+- 0 559 547"/>
                                <a:gd name="T127" fmla="*/ 559 h 68"/>
                                <a:gd name="T128" fmla="+- 0 1276 877"/>
                                <a:gd name="T129" fmla="*/ T128 w 484"/>
                                <a:gd name="T130" fmla="+- 0 551 547"/>
                                <a:gd name="T131" fmla="*/ 551 h 68"/>
                                <a:gd name="T132" fmla="+- 0 1272 877"/>
                                <a:gd name="T133" fmla="*/ T132 w 484"/>
                                <a:gd name="T134" fmla="+- 0 549 547"/>
                                <a:gd name="T135" fmla="*/ 549 h 68"/>
                                <a:gd name="T136" fmla="+- 0 1268 877"/>
                                <a:gd name="T137" fmla="*/ T136 w 484"/>
                                <a:gd name="T138" fmla="+- 0 549 547"/>
                                <a:gd name="T139" fmla="*/ 549 h 68"/>
                                <a:gd name="T140" fmla="+- 0 1260 877"/>
                                <a:gd name="T141" fmla="*/ T140 w 484"/>
                                <a:gd name="T142" fmla="+- 0 548 547"/>
                                <a:gd name="T143" fmla="*/ 548 h 68"/>
                                <a:gd name="T144" fmla="+- 0 1256 877"/>
                                <a:gd name="T145" fmla="*/ T144 w 484"/>
                                <a:gd name="T146" fmla="+- 0 547 547"/>
                                <a:gd name="T147" fmla="*/ 54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4" h="68">
                                  <a:moveTo>
                                    <a:pt x="379" y="0"/>
                                  </a:moveTo>
                                  <a:lnTo>
                                    <a:pt x="366" y="0"/>
                                  </a:lnTo>
                                  <a:lnTo>
                                    <a:pt x="360" y="2"/>
                                  </a:lnTo>
                                  <a:lnTo>
                                    <a:pt x="351" y="9"/>
                                  </a:lnTo>
                                  <a:lnTo>
                                    <a:pt x="349" y="14"/>
                                  </a:lnTo>
                                  <a:lnTo>
                                    <a:pt x="349" y="26"/>
                                  </a:lnTo>
                                  <a:lnTo>
                                    <a:pt x="351" y="30"/>
                                  </a:lnTo>
                                  <a:lnTo>
                                    <a:pt x="357" y="36"/>
                                  </a:lnTo>
                                  <a:lnTo>
                                    <a:pt x="362" y="38"/>
                                  </a:lnTo>
                                  <a:lnTo>
                                    <a:pt x="380" y="42"/>
                                  </a:lnTo>
                                  <a:lnTo>
                                    <a:pt x="383" y="43"/>
                                  </a:lnTo>
                                  <a:lnTo>
                                    <a:pt x="386" y="45"/>
                                  </a:lnTo>
                                  <a:lnTo>
                                    <a:pt x="386" y="47"/>
                                  </a:lnTo>
                                  <a:lnTo>
                                    <a:pt x="386" y="51"/>
                                  </a:lnTo>
                                  <a:lnTo>
                                    <a:pt x="385" y="53"/>
                                  </a:lnTo>
                                  <a:lnTo>
                                    <a:pt x="381" y="55"/>
                                  </a:lnTo>
                                  <a:lnTo>
                                    <a:pt x="378" y="56"/>
                                  </a:lnTo>
                                  <a:lnTo>
                                    <a:pt x="403" y="56"/>
                                  </a:lnTo>
                                  <a:lnTo>
                                    <a:pt x="404" y="54"/>
                                  </a:lnTo>
                                  <a:lnTo>
                                    <a:pt x="404" y="41"/>
                                  </a:lnTo>
                                  <a:lnTo>
                                    <a:pt x="402" y="37"/>
                                  </a:lnTo>
                                  <a:lnTo>
                                    <a:pt x="395" y="31"/>
                                  </a:lnTo>
                                  <a:lnTo>
                                    <a:pt x="390" y="29"/>
                                  </a:lnTo>
                                  <a:lnTo>
                                    <a:pt x="371" y="25"/>
                                  </a:lnTo>
                                  <a:lnTo>
                                    <a:pt x="369" y="24"/>
                                  </a:lnTo>
                                  <a:lnTo>
                                    <a:pt x="366" y="22"/>
                                  </a:lnTo>
                                  <a:lnTo>
                                    <a:pt x="365" y="21"/>
                                  </a:lnTo>
                                  <a:lnTo>
                                    <a:pt x="365" y="17"/>
                                  </a:lnTo>
                                  <a:lnTo>
                                    <a:pt x="366" y="15"/>
                                  </a:lnTo>
                                  <a:lnTo>
                                    <a:pt x="370" y="13"/>
                                  </a:lnTo>
                                  <a:lnTo>
                                    <a:pt x="373" y="12"/>
                                  </a:lnTo>
                                  <a:lnTo>
                                    <a:pt x="399" y="12"/>
                                  </a:lnTo>
                                  <a:lnTo>
                                    <a:pt x="399" y="4"/>
                                  </a:lnTo>
                                  <a:lnTo>
                                    <a:pt x="395" y="2"/>
                                  </a:lnTo>
                                  <a:lnTo>
                                    <a:pt x="391" y="2"/>
                                  </a:lnTo>
                                  <a:lnTo>
                                    <a:pt x="383" y="1"/>
                                  </a:lnTo>
                                  <a:lnTo>
                                    <a:pt x="3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6"/>
                          <wps:cNvSpPr>
                            <a:spLocks/>
                          </wps:cNvSpPr>
                          <wps:spPr bwMode="auto">
                            <a:xfrm>
                              <a:off x="877" y="547"/>
                              <a:ext cx="484" cy="68"/>
                            </a:xfrm>
                            <a:custGeom>
                              <a:avLst/>
                              <a:gdLst>
                                <a:gd name="T0" fmla="+- 0 1276 877"/>
                                <a:gd name="T1" fmla="*/ T0 w 484"/>
                                <a:gd name="T2" fmla="+- 0 559 547"/>
                                <a:gd name="T3" fmla="*/ 559 h 68"/>
                                <a:gd name="T4" fmla="+- 0 1258 877"/>
                                <a:gd name="T5" fmla="*/ T4 w 484"/>
                                <a:gd name="T6" fmla="+- 0 559 547"/>
                                <a:gd name="T7" fmla="*/ 559 h 68"/>
                                <a:gd name="T8" fmla="+- 0 1261 877"/>
                                <a:gd name="T9" fmla="*/ T8 w 484"/>
                                <a:gd name="T10" fmla="+- 0 560 547"/>
                                <a:gd name="T11" fmla="*/ 560 h 68"/>
                                <a:gd name="T12" fmla="+- 0 1269 877"/>
                                <a:gd name="T13" fmla="*/ T12 w 484"/>
                                <a:gd name="T14" fmla="+- 0 562 547"/>
                                <a:gd name="T15" fmla="*/ 562 h 68"/>
                                <a:gd name="T16" fmla="+- 0 1272 877"/>
                                <a:gd name="T17" fmla="*/ T16 w 484"/>
                                <a:gd name="T18" fmla="+- 0 563 547"/>
                                <a:gd name="T19" fmla="*/ 563 h 68"/>
                                <a:gd name="T20" fmla="+- 0 1276 877"/>
                                <a:gd name="T21" fmla="*/ T20 w 484"/>
                                <a:gd name="T22" fmla="+- 0 564 547"/>
                                <a:gd name="T23" fmla="*/ 564 h 68"/>
                                <a:gd name="T24" fmla="+- 0 1276 877"/>
                                <a:gd name="T25" fmla="*/ T24 w 484"/>
                                <a:gd name="T26" fmla="+- 0 559 547"/>
                                <a:gd name="T27" fmla="*/ 559 h 68"/>
                              </a:gdLst>
                              <a:ahLst/>
                              <a:cxnLst>
                                <a:cxn ang="0">
                                  <a:pos x="T1" y="T3"/>
                                </a:cxn>
                                <a:cxn ang="0">
                                  <a:pos x="T5" y="T7"/>
                                </a:cxn>
                                <a:cxn ang="0">
                                  <a:pos x="T9" y="T11"/>
                                </a:cxn>
                                <a:cxn ang="0">
                                  <a:pos x="T13" y="T15"/>
                                </a:cxn>
                                <a:cxn ang="0">
                                  <a:pos x="T17" y="T19"/>
                                </a:cxn>
                                <a:cxn ang="0">
                                  <a:pos x="T21" y="T23"/>
                                </a:cxn>
                                <a:cxn ang="0">
                                  <a:pos x="T25" y="T27"/>
                                </a:cxn>
                              </a:cxnLst>
                              <a:rect l="0" t="0" r="r" b="b"/>
                              <a:pathLst>
                                <a:path w="484" h="68">
                                  <a:moveTo>
                                    <a:pt x="399" y="12"/>
                                  </a:moveTo>
                                  <a:lnTo>
                                    <a:pt x="381" y="12"/>
                                  </a:lnTo>
                                  <a:lnTo>
                                    <a:pt x="384" y="13"/>
                                  </a:lnTo>
                                  <a:lnTo>
                                    <a:pt x="392" y="15"/>
                                  </a:lnTo>
                                  <a:lnTo>
                                    <a:pt x="395" y="16"/>
                                  </a:lnTo>
                                  <a:lnTo>
                                    <a:pt x="399" y="17"/>
                                  </a:lnTo>
                                  <a:lnTo>
                                    <a:pt x="399" y="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7"/>
                          <wps:cNvSpPr>
                            <a:spLocks/>
                          </wps:cNvSpPr>
                          <wps:spPr bwMode="auto">
                            <a:xfrm>
                              <a:off x="877" y="547"/>
                              <a:ext cx="484" cy="68"/>
                            </a:xfrm>
                            <a:custGeom>
                              <a:avLst/>
                              <a:gdLst>
                                <a:gd name="T0" fmla="+- 0 1214 877"/>
                                <a:gd name="T1" fmla="*/ T0 w 484"/>
                                <a:gd name="T2" fmla="+- 0 582 547"/>
                                <a:gd name="T3" fmla="*/ 582 h 68"/>
                                <a:gd name="T4" fmla="+- 0 1185 877"/>
                                <a:gd name="T5" fmla="*/ T4 w 484"/>
                                <a:gd name="T6" fmla="+- 0 582 547"/>
                                <a:gd name="T7" fmla="*/ 582 h 68"/>
                                <a:gd name="T8" fmla="+- 0 1185 877"/>
                                <a:gd name="T9" fmla="*/ T8 w 484"/>
                                <a:gd name="T10" fmla="+- 0 594 547"/>
                                <a:gd name="T11" fmla="*/ 594 h 68"/>
                                <a:gd name="T12" fmla="+- 0 1214 877"/>
                                <a:gd name="T13" fmla="*/ T12 w 484"/>
                                <a:gd name="T14" fmla="+- 0 594 547"/>
                                <a:gd name="T15" fmla="*/ 594 h 68"/>
                                <a:gd name="T16" fmla="+- 0 1214 877"/>
                                <a:gd name="T17" fmla="*/ T16 w 484"/>
                                <a:gd name="T18" fmla="+- 0 582 547"/>
                                <a:gd name="T19" fmla="*/ 582 h 68"/>
                              </a:gdLst>
                              <a:ahLst/>
                              <a:cxnLst>
                                <a:cxn ang="0">
                                  <a:pos x="T1" y="T3"/>
                                </a:cxn>
                                <a:cxn ang="0">
                                  <a:pos x="T5" y="T7"/>
                                </a:cxn>
                                <a:cxn ang="0">
                                  <a:pos x="T9" y="T11"/>
                                </a:cxn>
                                <a:cxn ang="0">
                                  <a:pos x="T13" y="T15"/>
                                </a:cxn>
                                <a:cxn ang="0">
                                  <a:pos x="T17" y="T19"/>
                                </a:cxn>
                              </a:cxnLst>
                              <a:rect l="0" t="0" r="r" b="b"/>
                              <a:pathLst>
                                <a:path w="484" h="68">
                                  <a:moveTo>
                                    <a:pt x="337" y="35"/>
                                  </a:moveTo>
                                  <a:lnTo>
                                    <a:pt x="308" y="35"/>
                                  </a:lnTo>
                                  <a:lnTo>
                                    <a:pt x="308" y="47"/>
                                  </a:lnTo>
                                  <a:lnTo>
                                    <a:pt x="337" y="47"/>
                                  </a:lnTo>
                                  <a:lnTo>
                                    <a:pt x="337" y="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8"/>
                          <wps:cNvSpPr>
                            <a:spLocks/>
                          </wps:cNvSpPr>
                          <wps:spPr bwMode="auto">
                            <a:xfrm>
                              <a:off x="877" y="547"/>
                              <a:ext cx="484" cy="68"/>
                            </a:xfrm>
                            <a:custGeom>
                              <a:avLst/>
                              <a:gdLst>
                                <a:gd name="T0" fmla="+- 0 1154 877"/>
                                <a:gd name="T1" fmla="*/ T0 w 484"/>
                                <a:gd name="T2" fmla="+- 0 547 547"/>
                                <a:gd name="T3" fmla="*/ 547 h 68"/>
                                <a:gd name="T4" fmla="+- 0 1138 877"/>
                                <a:gd name="T5" fmla="*/ T4 w 484"/>
                                <a:gd name="T6" fmla="+- 0 547 547"/>
                                <a:gd name="T7" fmla="*/ 547 h 68"/>
                                <a:gd name="T8" fmla="+- 0 1129 877"/>
                                <a:gd name="T9" fmla="*/ T8 w 484"/>
                                <a:gd name="T10" fmla="+- 0 550 547"/>
                                <a:gd name="T11" fmla="*/ 550 h 68"/>
                                <a:gd name="T12" fmla="+- 0 1116 877"/>
                                <a:gd name="T13" fmla="*/ T12 w 484"/>
                                <a:gd name="T14" fmla="+- 0 562 547"/>
                                <a:gd name="T15" fmla="*/ 562 h 68"/>
                                <a:gd name="T16" fmla="+- 0 1112 877"/>
                                <a:gd name="T17" fmla="*/ T16 w 484"/>
                                <a:gd name="T18" fmla="+- 0 571 547"/>
                                <a:gd name="T19" fmla="*/ 571 h 68"/>
                                <a:gd name="T20" fmla="+- 0 1112 877"/>
                                <a:gd name="T21" fmla="*/ T20 w 484"/>
                                <a:gd name="T22" fmla="+- 0 591 547"/>
                                <a:gd name="T23" fmla="*/ 591 h 68"/>
                                <a:gd name="T24" fmla="+- 0 1116 877"/>
                                <a:gd name="T25" fmla="*/ T24 w 484"/>
                                <a:gd name="T26" fmla="+- 0 600 547"/>
                                <a:gd name="T27" fmla="*/ 600 h 68"/>
                                <a:gd name="T28" fmla="+- 0 1129 877"/>
                                <a:gd name="T29" fmla="*/ T28 w 484"/>
                                <a:gd name="T30" fmla="+- 0 612 547"/>
                                <a:gd name="T31" fmla="*/ 612 h 68"/>
                                <a:gd name="T32" fmla="+- 0 1138 877"/>
                                <a:gd name="T33" fmla="*/ T32 w 484"/>
                                <a:gd name="T34" fmla="+- 0 615 547"/>
                                <a:gd name="T35" fmla="*/ 615 h 68"/>
                                <a:gd name="T36" fmla="+- 0 1154 877"/>
                                <a:gd name="T37" fmla="*/ T36 w 484"/>
                                <a:gd name="T38" fmla="+- 0 615 547"/>
                                <a:gd name="T39" fmla="*/ 615 h 68"/>
                                <a:gd name="T40" fmla="+- 0 1157 877"/>
                                <a:gd name="T41" fmla="*/ T40 w 484"/>
                                <a:gd name="T42" fmla="+- 0 614 547"/>
                                <a:gd name="T43" fmla="*/ 614 h 68"/>
                                <a:gd name="T44" fmla="+- 0 1165 877"/>
                                <a:gd name="T45" fmla="*/ T44 w 484"/>
                                <a:gd name="T46" fmla="+- 0 613 547"/>
                                <a:gd name="T47" fmla="*/ 613 h 68"/>
                                <a:gd name="T48" fmla="+- 0 1168 877"/>
                                <a:gd name="T49" fmla="*/ T48 w 484"/>
                                <a:gd name="T50" fmla="+- 0 612 547"/>
                                <a:gd name="T51" fmla="*/ 612 h 68"/>
                                <a:gd name="T52" fmla="+- 0 1171 877"/>
                                <a:gd name="T53" fmla="*/ T52 w 484"/>
                                <a:gd name="T54" fmla="+- 0 610 547"/>
                                <a:gd name="T55" fmla="*/ 610 h 68"/>
                                <a:gd name="T56" fmla="+- 0 1171 877"/>
                                <a:gd name="T57" fmla="*/ T56 w 484"/>
                                <a:gd name="T58" fmla="+- 0 603 547"/>
                                <a:gd name="T59" fmla="*/ 603 h 68"/>
                                <a:gd name="T60" fmla="+- 0 1145 877"/>
                                <a:gd name="T61" fmla="*/ T60 w 484"/>
                                <a:gd name="T62" fmla="+- 0 603 547"/>
                                <a:gd name="T63" fmla="*/ 603 h 68"/>
                                <a:gd name="T64" fmla="+- 0 1140 877"/>
                                <a:gd name="T65" fmla="*/ T64 w 484"/>
                                <a:gd name="T66" fmla="+- 0 601 547"/>
                                <a:gd name="T67" fmla="*/ 601 h 68"/>
                                <a:gd name="T68" fmla="+- 0 1133 877"/>
                                <a:gd name="T69" fmla="*/ T68 w 484"/>
                                <a:gd name="T70" fmla="+- 0 593 547"/>
                                <a:gd name="T71" fmla="*/ 593 h 68"/>
                                <a:gd name="T72" fmla="+- 0 1131 877"/>
                                <a:gd name="T73" fmla="*/ T72 w 484"/>
                                <a:gd name="T74" fmla="+- 0 588 547"/>
                                <a:gd name="T75" fmla="*/ 588 h 68"/>
                                <a:gd name="T76" fmla="+- 0 1131 877"/>
                                <a:gd name="T77" fmla="*/ T76 w 484"/>
                                <a:gd name="T78" fmla="+- 0 574 547"/>
                                <a:gd name="T79" fmla="*/ 574 h 68"/>
                                <a:gd name="T80" fmla="+- 0 1133 877"/>
                                <a:gd name="T81" fmla="*/ T80 w 484"/>
                                <a:gd name="T82" fmla="+- 0 569 547"/>
                                <a:gd name="T83" fmla="*/ 569 h 68"/>
                                <a:gd name="T84" fmla="+- 0 1140 877"/>
                                <a:gd name="T85" fmla="*/ T84 w 484"/>
                                <a:gd name="T86" fmla="+- 0 561 547"/>
                                <a:gd name="T87" fmla="*/ 561 h 68"/>
                                <a:gd name="T88" fmla="+- 0 1145 877"/>
                                <a:gd name="T89" fmla="*/ T88 w 484"/>
                                <a:gd name="T90" fmla="+- 0 559 547"/>
                                <a:gd name="T91" fmla="*/ 559 h 68"/>
                                <a:gd name="T92" fmla="+- 0 1171 877"/>
                                <a:gd name="T93" fmla="*/ T92 w 484"/>
                                <a:gd name="T94" fmla="+- 0 559 547"/>
                                <a:gd name="T95" fmla="*/ 559 h 68"/>
                                <a:gd name="T96" fmla="+- 0 1171 877"/>
                                <a:gd name="T97" fmla="*/ T96 w 484"/>
                                <a:gd name="T98" fmla="+- 0 552 547"/>
                                <a:gd name="T99" fmla="*/ 552 h 68"/>
                                <a:gd name="T100" fmla="+- 0 1168 877"/>
                                <a:gd name="T101" fmla="*/ T100 w 484"/>
                                <a:gd name="T102" fmla="+- 0 551 547"/>
                                <a:gd name="T103" fmla="*/ 551 h 68"/>
                                <a:gd name="T104" fmla="+- 0 1165 877"/>
                                <a:gd name="T105" fmla="*/ T104 w 484"/>
                                <a:gd name="T106" fmla="+- 0 549 547"/>
                                <a:gd name="T107" fmla="*/ 549 h 68"/>
                                <a:gd name="T108" fmla="+- 0 1157 877"/>
                                <a:gd name="T109" fmla="*/ T108 w 484"/>
                                <a:gd name="T110" fmla="+- 0 548 547"/>
                                <a:gd name="T111" fmla="*/ 548 h 68"/>
                                <a:gd name="T112" fmla="+- 0 1154 877"/>
                                <a:gd name="T113" fmla="*/ T112 w 484"/>
                                <a:gd name="T114" fmla="+- 0 547 547"/>
                                <a:gd name="T115" fmla="*/ 54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4" h="68">
                                  <a:moveTo>
                                    <a:pt x="277" y="0"/>
                                  </a:moveTo>
                                  <a:lnTo>
                                    <a:pt x="261" y="0"/>
                                  </a:lnTo>
                                  <a:lnTo>
                                    <a:pt x="252" y="3"/>
                                  </a:lnTo>
                                  <a:lnTo>
                                    <a:pt x="239" y="15"/>
                                  </a:lnTo>
                                  <a:lnTo>
                                    <a:pt x="235" y="24"/>
                                  </a:lnTo>
                                  <a:lnTo>
                                    <a:pt x="235" y="44"/>
                                  </a:lnTo>
                                  <a:lnTo>
                                    <a:pt x="239" y="53"/>
                                  </a:lnTo>
                                  <a:lnTo>
                                    <a:pt x="252" y="65"/>
                                  </a:lnTo>
                                  <a:lnTo>
                                    <a:pt x="261" y="68"/>
                                  </a:lnTo>
                                  <a:lnTo>
                                    <a:pt x="277" y="68"/>
                                  </a:lnTo>
                                  <a:lnTo>
                                    <a:pt x="280" y="67"/>
                                  </a:lnTo>
                                  <a:lnTo>
                                    <a:pt x="288" y="66"/>
                                  </a:lnTo>
                                  <a:lnTo>
                                    <a:pt x="291" y="65"/>
                                  </a:lnTo>
                                  <a:lnTo>
                                    <a:pt x="294" y="63"/>
                                  </a:lnTo>
                                  <a:lnTo>
                                    <a:pt x="294" y="56"/>
                                  </a:lnTo>
                                  <a:lnTo>
                                    <a:pt x="268" y="56"/>
                                  </a:lnTo>
                                  <a:lnTo>
                                    <a:pt x="263" y="54"/>
                                  </a:lnTo>
                                  <a:lnTo>
                                    <a:pt x="256" y="46"/>
                                  </a:lnTo>
                                  <a:lnTo>
                                    <a:pt x="254" y="41"/>
                                  </a:lnTo>
                                  <a:lnTo>
                                    <a:pt x="254" y="27"/>
                                  </a:lnTo>
                                  <a:lnTo>
                                    <a:pt x="256" y="22"/>
                                  </a:lnTo>
                                  <a:lnTo>
                                    <a:pt x="263" y="14"/>
                                  </a:lnTo>
                                  <a:lnTo>
                                    <a:pt x="268" y="12"/>
                                  </a:lnTo>
                                  <a:lnTo>
                                    <a:pt x="294" y="12"/>
                                  </a:lnTo>
                                  <a:lnTo>
                                    <a:pt x="294" y="5"/>
                                  </a:lnTo>
                                  <a:lnTo>
                                    <a:pt x="291" y="4"/>
                                  </a:lnTo>
                                  <a:lnTo>
                                    <a:pt x="288" y="2"/>
                                  </a:lnTo>
                                  <a:lnTo>
                                    <a:pt x="280" y="1"/>
                                  </a:lnTo>
                                  <a:lnTo>
                                    <a:pt x="2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9"/>
                          <wps:cNvSpPr>
                            <a:spLocks/>
                          </wps:cNvSpPr>
                          <wps:spPr bwMode="auto">
                            <a:xfrm>
                              <a:off x="877" y="547"/>
                              <a:ext cx="484" cy="68"/>
                            </a:xfrm>
                            <a:custGeom>
                              <a:avLst/>
                              <a:gdLst>
                                <a:gd name="T0" fmla="+- 0 1171 877"/>
                                <a:gd name="T1" fmla="*/ T0 w 484"/>
                                <a:gd name="T2" fmla="+- 0 597 547"/>
                                <a:gd name="T3" fmla="*/ 597 h 68"/>
                                <a:gd name="T4" fmla="+- 0 1168 877"/>
                                <a:gd name="T5" fmla="*/ T4 w 484"/>
                                <a:gd name="T6" fmla="+- 0 599 547"/>
                                <a:gd name="T7" fmla="*/ 599 h 68"/>
                                <a:gd name="T8" fmla="+- 0 1165 877"/>
                                <a:gd name="T9" fmla="*/ T8 w 484"/>
                                <a:gd name="T10" fmla="+- 0 600 547"/>
                                <a:gd name="T11" fmla="*/ 600 h 68"/>
                                <a:gd name="T12" fmla="+- 0 1158 877"/>
                                <a:gd name="T13" fmla="*/ T12 w 484"/>
                                <a:gd name="T14" fmla="+- 0 602 547"/>
                                <a:gd name="T15" fmla="*/ 602 h 68"/>
                                <a:gd name="T16" fmla="+- 0 1155 877"/>
                                <a:gd name="T17" fmla="*/ T16 w 484"/>
                                <a:gd name="T18" fmla="+- 0 603 547"/>
                                <a:gd name="T19" fmla="*/ 603 h 68"/>
                                <a:gd name="T20" fmla="+- 0 1171 877"/>
                                <a:gd name="T21" fmla="*/ T20 w 484"/>
                                <a:gd name="T22" fmla="+- 0 603 547"/>
                                <a:gd name="T23" fmla="*/ 603 h 68"/>
                                <a:gd name="T24" fmla="+- 0 1171 877"/>
                                <a:gd name="T25" fmla="*/ T24 w 484"/>
                                <a:gd name="T26" fmla="+- 0 597 547"/>
                                <a:gd name="T27" fmla="*/ 597 h 68"/>
                              </a:gdLst>
                              <a:ahLst/>
                              <a:cxnLst>
                                <a:cxn ang="0">
                                  <a:pos x="T1" y="T3"/>
                                </a:cxn>
                                <a:cxn ang="0">
                                  <a:pos x="T5" y="T7"/>
                                </a:cxn>
                                <a:cxn ang="0">
                                  <a:pos x="T9" y="T11"/>
                                </a:cxn>
                                <a:cxn ang="0">
                                  <a:pos x="T13" y="T15"/>
                                </a:cxn>
                                <a:cxn ang="0">
                                  <a:pos x="T17" y="T19"/>
                                </a:cxn>
                                <a:cxn ang="0">
                                  <a:pos x="T21" y="T23"/>
                                </a:cxn>
                                <a:cxn ang="0">
                                  <a:pos x="T25" y="T27"/>
                                </a:cxn>
                              </a:cxnLst>
                              <a:rect l="0" t="0" r="r" b="b"/>
                              <a:pathLst>
                                <a:path w="484" h="68">
                                  <a:moveTo>
                                    <a:pt x="294" y="50"/>
                                  </a:moveTo>
                                  <a:lnTo>
                                    <a:pt x="291" y="52"/>
                                  </a:lnTo>
                                  <a:lnTo>
                                    <a:pt x="288" y="53"/>
                                  </a:lnTo>
                                  <a:lnTo>
                                    <a:pt x="281" y="55"/>
                                  </a:lnTo>
                                  <a:lnTo>
                                    <a:pt x="278" y="56"/>
                                  </a:lnTo>
                                  <a:lnTo>
                                    <a:pt x="294" y="56"/>
                                  </a:lnTo>
                                  <a:lnTo>
                                    <a:pt x="294"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0"/>
                          <wps:cNvSpPr>
                            <a:spLocks/>
                          </wps:cNvSpPr>
                          <wps:spPr bwMode="auto">
                            <a:xfrm>
                              <a:off x="877" y="547"/>
                              <a:ext cx="484" cy="68"/>
                            </a:xfrm>
                            <a:custGeom>
                              <a:avLst/>
                              <a:gdLst>
                                <a:gd name="T0" fmla="+- 0 1171 877"/>
                                <a:gd name="T1" fmla="*/ T0 w 484"/>
                                <a:gd name="T2" fmla="+- 0 559 547"/>
                                <a:gd name="T3" fmla="*/ 559 h 68"/>
                                <a:gd name="T4" fmla="+- 0 1155 877"/>
                                <a:gd name="T5" fmla="*/ T4 w 484"/>
                                <a:gd name="T6" fmla="+- 0 559 547"/>
                                <a:gd name="T7" fmla="*/ 559 h 68"/>
                                <a:gd name="T8" fmla="+- 0 1158 877"/>
                                <a:gd name="T9" fmla="*/ T8 w 484"/>
                                <a:gd name="T10" fmla="+- 0 560 547"/>
                                <a:gd name="T11" fmla="*/ 560 h 68"/>
                                <a:gd name="T12" fmla="+- 0 1165 877"/>
                                <a:gd name="T13" fmla="*/ T12 w 484"/>
                                <a:gd name="T14" fmla="+- 0 562 547"/>
                                <a:gd name="T15" fmla="*/ 562 h 68"/>
                                <a:gd name="T16" fmla="+- 0 1168 877"/>
                                <a:gd name="T17" fmla="*/ T16 w 484"/>
                                <a:gd name="T18" fmla="+- 0 564 547"/>
                                <a:gd name="T19" fmla="*/ 564 h 68"/>
                                <a:gd name="T20" fmla="+- 0 1171 877"/>
                                <a:gd name="T21" fmla="*/ T20 w 484"/>
                                <a:gd name="T22" fmla="+- 0 566 547"/>
                                <a:gd name="T23" fmla="*/ 566 h 68"/>
                                <a:gd name="T24" fmla="+- 0 1171 877"/>
                                <a:gd name="T25" fmla="*/ T24 w 484"/>
                                <a:gd name="T26" fmla="+- 0 559 547"/>
                                <a:gd name="T27" fmla="*/ 559 h 68"/>
                              </a:gdLst>
                              <a:ahLst/>
                              <a:cxnLst>
                                <a:cxn ang="0">
                                  <a:pos x="T1" y="T3"/>
                                </a:cxn>
                                <a:cxn ang="0">
                                  <a:pos x="T5" y="T7"/>
                                </a:cxn>
                                <a:cxn ang="0">
                                  <a:pos x="T9" y="T11"/>
                                </a:cxn>
                                <a:cxn ang="0">
                                  <a:pos x="T13" y="T15"/>
                                </a:cxn>
                                <a:cxn ang="0">
                                  <a:pos x="T17" y="T19"/>
                                </a:cxn>
                                <a:cxn ang="0">
                                  <a:pos x="T21" y="T23"/>
                                </a:cxn>
                                <a:cxn ang="0">
                                  <a:pos x="T25" y="T27"/>
                                </a:cxn>
                              </a:cxnLst>
                              <a:rect l="0" t="0" r="r" b="b"/>
                              <a:pathLst>
                                <a:path w="484" h="68">
                                  <a:moveTo>
                                    <a:pt x="294" y="12"/>
                                  </a:moveTo>
                                  <a:lnTo>
                                    <a:pt x="278" y="12"/>
                                  </a:lnTo>
                                  <a:lnTo>
                                    <a:pt x="281" y="13"/>
                                  </a:lnTo>
                                  <a:lnTo>
                                    <a:pt x="288" y="15"/>
                                  </a:lnTo>
                                  <a:lnTo>
                                    <a:pt x="291" y="17"/>
                                  </a:lnTo>
                                  <a:lnTo>
                                    <a:pt x="294" y="19"/>
                                  </a:lnTo>
                                  <a:lnTo>
                                    <a:pt x="294" y="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1"/>
                          <wps:cNvSpPr>
                            <a:spLocks/>
                          </wps:cNvSpPr>
                          <wps:spPr bwMode="auto">
                            <a:xfrm>
                              <a:off x="877" y="547"/>
                              <a:ext cx="484" cy="68"/>
                            </a:xfrm>
                            <a:custGeom>
                              <a:avLst/>
                              <a:gdLst>
                                <a:gd name="T0" fmla="+- 0 1057 877"/>
                                <a:gd name="T1" fmla="*/ T0 w 484"/>
                                <a:gd name="T2" fmla="+- 0 549 547"/>
                                <a:gd name="T3" fmla="*/ 549 h 68"/>
                                <a:gd name="T4" fmla="+- 0 1037 877"/>
                                <a:gd name="T5" fmla="*/ T4 w 484"/>
                                <a:gd name="T6" fmla="+- 0 549 547"/>
                                <a:gd name="T7" fmla="*/ 549 h 68"/>
                                <a:gd name="T8" fmla="+- 0 1037 877"/>
                                <a:gd name="T9" fmla="*/ T8 w 484"/>
                                <a:gd name="T10" fmla="+- 0 614 547"/>
                                <a:gd name="T11" fmla="*/ 614 h 68"/>
                                <a:gd name="T12" fmla="+- 0 1054 877"/>
                                <a:gd name="T13" fmla="*/ T12 w 484"/>
                                <a:gd name="T14" fmla="+- 0 614 547"/>
                                <a:gd name="T15" fmla="*/ 614 h 68"/>
                                <a:gd name="T16" fmla="+- 0 1054 877"/>
                                <a:gd name="T17" fmla="*/ T16 w 484"/>
                                <a:gd name="T18" fmla="+- 0 569 547"/>
                                <a:gd name="T19" fmla="*/ 569 h 68"/>
                                <a:gd name="T20" fmla="+- 0 1068 877"/>
                                <a:gd name="T21" fmla="*/ T20 w 484"/>
                                <a:gd name="T22" fmla="+- 0 569 547"/>
                                <a:gd name="T23" fmla="*/ 569 h 68"/>
                                <a:gd name="T24" fmla="+- 0 1057 877"/>
                                <a:gd name="T25" fmla="*/ T24 w 484"/>
                                <a:gd name="T26" fmla="+- 0 549 547"/>
                                <a:gd name="T27" fmla="*/ 549 h 68"/>
                              </a:gdLst>
                              <a:ahLst/>
                              <a:cxnLst>
                                <a:cxn ang="0">
                                  <a:pos x="T1" y="T3"/>
                                </a:cxn>
                                <a:cxn ang="0">
                                  <a:pos x="T5" y="T7"/>
                                </a:cxn>
                                <a:cxn ang="0">
                                  <a:pos x="T9" y="T11"/>
                                </a:cxn>
                                <a:cxn ang="0">
                                  <a:pos x="T13" y="T15"/>
                                </a:cxn>
                                <a:cxn ang="0">
                                  <a:pos x="T17" y="T19"/>
                                </a:cxn>
                                <a:cxn ang="0">
                                  <a:pos x="T21" y="T23"/>
                                </a:cxn>
                                <a:cxn ang="0">
                                  <a:pos x="T25" y="T27"/>
                                </a:cxn>
                              </a:cxnLst>
                              <a:rect l="0" t="0" r="r" b="b"/>
                              <a:pathLst>
                                <a:path w="484" h="68">
                                  <a:moveTo>
                                    <a:pt x="180" y="2"/>
                                  </a:moveTo>
                                  <a:lnTo>
                                    <a:pt x="160" y="2"/>
                                  </a:lnTo>
                                  <a:lnTo>
                                    <a:pt x="160" y="67"/>
                                  </a:lnTo>
                                  <a:lnTo>
                                    <a:pt x="177" y="67"/>
                                  </a:lnTo>
                                  <a:lnTo>
                                    <a:pt x="177" y="22"/>
                                  </a:lnTo>
                                  <a:lnTo>
                                    <a:pt x="191" y="22"/>
                                  </a:lnTo>
                                  <a:lnTo>
                                    <a:pt x="18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2"/>
                          <wps:cNvSpPr>
                            <a:spLocks/>
                          </wps:cNvSpPr>
                          <wps:spPr bwMode="auto">
                            <a:xfrm>
                              <a:off x="877" y="547"/>
                              <a:ext cx="484" cy="68"/>
                            </a:xfrm>
                            <a:custGeom>
                              <a:avLst/>
                              <a:gdLst>
                                <a:gd name="T0" fmla="+- 0 1068 877"/>
                                <a:gd name="T1" fmla="*/ T0 w 484"/>
                                <a:gd name="T2" fmla="+- 0 569 547"/>
                                <a:gd name="T3" fmla="*/ 569 h 68"/>
                                <a:gd name="T4" fmla="+- 0 1054 877"/>
                                <a:gd name="T5" fmla="*/ T4 w 484"/>
                                <a:gd name="T6" fmla="+- 0 569 547"/>
                                <a:gd name="T7" fmla="*/ 569 h 68"/>
                                <a:gd name="T8" fmla="+- 0 1079 877"/>
                                <a:gd name="T9" fmla="*/ T8 w 484"/>
                                <a:gd name="T10" fmla="+- 0 614 547"/>
                                <a:gd name="T11" fmla="*/ 614 h 68"/>
                                <a:gd name="T12" fmla="+- 0 1099 877"/>
                                <a:gd name="T13" fmla="*/ T12 w 484"/>
                                <a:gd name="T14" fmla="+- 0 614 547"/>
                                <a:gd name="T15" fmla="*/ 614 h 68"/>
                                <a:gd name="T16" fmla="+- 0 1099 877"/>
                                <a:gd name="T17" fmla="*/ T16 w 484"/>
                                <a:gd name="T18" fmla="+- 0 593 547"/>
                                <a:gd name="T19" fmla="*/ 593 h 68"/>
                                <a:gd name="T20" fmla="+- 0 1082 877"/>
                                <a:gd name="T21" fmla="*/ T20 w 484"/>
                                <a:gd name="T22" fmla="+- 0 593 547"/>
                                <a:gd name="T23" fmla="*/ 593 h 68"/>
                                <a:gd name="T24" fmla="+- 0 1068 877"/>
                                <a:gd name="T25" fmla="*/ T24 w 484"/>
                                <a:gd name="T26" fmla="+- 0 569 547"/>
                                <a:gd name="T27" fmla="*/ 569 h 68"/>
                              </a:gdLst>
                              <a:ahLst/>
                              <a:cxnLst>
                                <a:cxn ang="0">
                                  <a:pos x="T1" y="T3"/>
                                </a:cxn>
                                <a:cxn ang="0">
                                  <a:pos x="T5" y="T7"/>
                                </a:cxn>
                                <a:cxn ang="0">
                                  <a:pos x="T9" y="T11"/>
                                </a:cxn>
                                <a:cxn ang="0">
                                  <a:pos x="T13" y="T15"/>
                                </a:cxn>
                                <a:cxn ang="0">
                                  <a:pos x="T17" y="T19"/>
                                </a:cxn>
                                <a:cxn ang="0">
                                  <a:pos x="T21" y="T23"/>
                                </a:cxn>
                                <a:cxn ang="0">
                                  <a:pos x="T25" y="T27"/>
                                </a:cxn>
                              </a:cxnLst>
                              <a:rect l="0" t="0" r="r" b="b"/>
                              <a:pathLst>
                                <a:path w="484" h="68">
                                  <a:moveTo>
                                    <a:pt x="191" y="22"/>
                                  </a:moveTo>
                                  <a:lnTo>
                                    <a:pt x="177" y="22"/>
                                  </a:lnTo>
                                  <a:lnTo>
                                    <a:pt x="202" y="67"/>
                                  </a:lnTo>
                                  <a:lnTo>
                                    <a:pt x="222" y="67"/>
                                  </a:lnTo>
                                  <a:lnTo>
                                    <a:pt x="222" y="46"/>
                                  </a:lnTo>
                                  <a:lnTo>
                                    <a:pt x="205" y="46"/>
                                  </a:lnTo>
                                  <a:lnTo>
                                    <a:pt x="191"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3"/>
                          <wps:cNvSpPr>
                            <a:spLocks/>
                          </wps:cNvSpPr>
                          <wps:spPr bwMode="auto">
                            <a:xfrm>
                              <a:off x="877" y="547"/>
                              <a:ext cx="484" cy="68"/>
                            </a:xfrm>
                            <a:custGeom>
                              <a:avLst/>
                              <a:gdLst>
                                <a:gd name="T0" fmla="+- 0 1099 877"/>
                                <a:gd name="T1" fmla="*/ T0 w 484"/>
                                <a:gd name="T2" fmla="+- 0 549 547"/>
                                <a:gd name="T3" fmla="*/ 549 h 68"/>
                                <a:gd name="T4" fmla="+- 0 1082 877"/>
                                <a:gd name="T5" fmla="*/ T4 w 484"/>
                                <a:gd name="T6" fmla="+- 0 549 547"/>
                                <a:gd name="T7" fmla="*/ 549 h 68"/>
                                <a:gd name="T8" fmla="+- 0 1082 877"/>
                                <a:gd name="T9" fmla="*/ T8 w 484"/>
                                <a:gd name="T10" fmla="+- 0 593 547"/>
                                <a:gd name="T11" fmla="*/ 593 h 68"/>
                                <a:gd name="T12" fmla="+- 0 1099 877"/>
                                <a:gd name="T13" fmla="*/ T12 w 484"/>
                                <a:gd name="T14" fmla="+- 0 593 547"/>
                                <a:gd name="T15" fmla="*/ 593 h 68"/>
                                <a:gd name="T16" fmla="+- 0 1099 877"/>
                                <a:gd name="T17" fmla="*/ T16 w 484"/>
                                <a:gd name="T18" fmla="+- 0 549 547"/>
                                <a:gd name="T19" fmla="*/ 549 h 68"/>
                              </a:gdLst>
                              <a:ahLst/>
                              <a:cxnLst>
                                <a:cxn ang="0">
                                  <a:pos x="T1" y="T3"/>
                                </a:cxn>
                                <a:cxn ang="0">
                                  <a:pos x="T5" y="T7"/>
                                </a:cxn>
                                <a:cxn ang="0">
                                  <a:pos x="T9" y="T11"/>
                                </a:cxn>
                                <a:cxn ang="0">
                                  <a:pos x="T13" y="T15"/>
                                </a:cxn>
                                <a:cxn ang="0">
                                  <a:pos x="T17" y="T19"/>
                                </a:cxn>
                              </a:cxnLst>
                              <a:rect l="0" t="0" r="r" b="b"/>
                              <a:pathLst>
                                <a:path w="484" h="68">
                                  <a:moveTo>
                                    <a:pt x="222" y="2"/>
                                  </a:moveTo>
                                  <a:lnTo>
                                    <a:pt x="205" y="2"/>
                                  </a:lnTo>
                                  <a:lnTo>
                                    <a:pt x="205" y="46"/>
                                  </a:lnTo>
                                  <a:lnTo>
                                    <a:pt x="222" y="46"/>
                                  </a:lnTo>
                                  <a:lnTo>
                                    <a:pt x="222"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4"/>
                          <wps:cNvSpPr>
                            <a:spLocks/>
                          </wps:cNvSpPr>
                          <wps:spPr bwMode="auto">
                            <a:xfrm>
                              <a:off x="877" y="547"/>
                              <a:ext cx="484" cy="68"/>
                            </a:xfrm>
                            <a:custGeom>
                              <a:avLst/>
                              <a:gdLst>
                                <a:gd name="T0" fmla="+- 0 913 877"/>
                                <a:gd name="T1" fmla="*/ T0 w 484"/>
                                <a:gd name="T2" fmla="+- 0 549 547"/>
                                <a:gd name="T3" fmla="*/ 549 h 68"/>
                                <a:gd name="T4" fmla="+- 0 877 877"/>
                                <a:gd name="T5" fmla="*/ T4 w 484"/>
                                <a:gd name="T6" fmla="+- 0 549 547"/>
                                <a:gd name="T7" fmla="*/ 549 h 68"/>
                                <a:gd name="T8" fmla="+- 0 877 877"/>
                                <a:gd name="T9" fmla="*/ T8 w 484"/>
                                <a:gd name="T10" fmla="+- 0 614 547"/>
                                <a:gd name="T11" fmla="*/ 614 h 68"/>
                                <a:gd name="T12" fmla="+- 0 916 877"/>
                                <a:gd name="T13" fmla="*/ T12 w 484"/>
                                <a:gd name="T14" fmla="+- 0 614 547"/>
                                <a:gd name="T15" fmla="*/ 614 h 68"/>
                                <a:gd name="T16" fmla="+- 0 923 877"/>
                                <a:gd name="T17" fmla="*/ T16 w 484"/>
                                <a:gd name="T18" fmla="+- 0 612 547"/>
                                <a:gd name="T19" fmla="*/ 612 h 68"/>
                                <a:gd name="T20" fmla="+- 0 932 877"/>
                                <a:gd name="T21" fmla="*/ T20 w 484"/>
                                <a:gd name="T22" fmla="+- 0 606 547"/>
                                <a:gd name="T23" fmla="*/ 606 h 68"/>
                                <a:gd name="T24" fmla="+- 0 934 877"/>
                                <a:gd name="T25" fmla="*/ T24 w 484"/>
                                <a:gd name="T26" fmla="+- 0 602 547"/>
                                <a:gd name="T27" fmla="*/ 602 h 68"/>
                                <a:gd name="T28" fmla="+- 0 895 877"/>
                                <a:gd name="T29" fmla="*/ T28 w 484"/>
                                <a:gd name="T30" fmla="+- 0 602 547"/>
                                <a:gd name="T31" fmla="*/ 602 h 68"/>
                                <a:gd name="T32" fmla="+- 0 895 877"/>
                                <a:gd name="T33" fmla="*/ T32 w 484"/>
                                <a:gd name="T34" fmla="+- 0 585 547"/>
                                <a:gd name="T35" fmla="*/ 585 h 68"/>
                                <a:gd name="T36" fmla="+- 0 931 877"/>
                                <a:gd name="T37" fmla="*/ T36 w 484"/>
                                <a:gd name="T38" fmla="+- 0 585 547"/>
                                <a:gd name="T39" fmla="*/ 585 h 68"/>
                                <a:gd name="T40" fmla="+- 0 929 877"/>
                                <a:gd name="T41" fmla="*/ T40 w 484"/>
                                <a:gd name="T42" fmla="+- 0 582 547"/>
                                <a:gd name="T43" fmla="*/ 582 h 68"/>
                                <a:gd name="T44" fmla="+- 0 926 877"/>
                                <a:gd name="T45" fmla="*/ T44 w 484"/>
                                <a:gd name="T46" fmla="+- 0 580 547"/>
                                <a:gd name="T47" fmla="*/ 580 h 68"/>
                                <a:gd name="T48" fmla="+- 0 922 877"/>
                                <a:gd name="T49" fmla="*/ T48 w 484"/>
                                <a:gd name="T50" fmla="+- 0 579 547"/>
                                <a:gd name="T51" fmla="*/ 579 h 68"/>
                                <a:gd name="T52" fmla="+- 0 925 877"/>
                                <a:gd name="T53" fmla="*/ T52 w 484"/>
                                <a:gd name="T54" fmla="+- 0 578 547"/>
                                <a:gd name="T55" fmla="*/ 578 h 68"/>
                                <a:gd name="T56" fmla="+- 0 927 877"/>
                                <a:gd name="T57" fmla="*/ T56 w 484"/>
                                <a:gd name="T58" fmla="+- 0 576 547"/>
                                <a:gd name="T59" fmla="*/ 576 h 68"/>
                                <a:gd name="T60" fmla="+- 0 929 877"/>
                                <a:gd name="T61" fmla="*/ T60 w 484"/>
                                <a:gd name="T62" fmla="+- 0 574 547"/>
                                <a:gd name="T63" fmla="*/ 574 h 68"/>
                                <a:gd name="T64" fmla="+- 0 895 877"/>
                                <a:gd name="T65" fmla="*/ T64 w 484"/>
                                <a:gd name="T66" fmla="+- 0 574 547"/>
                                <a:gd name="T67" fmla="*/ 574 h 68"/>
                                <a:gd name="T68" fmla="+- 0 895 877"/>
                                <a:gd name="T69" fmla="*/ T68 w 484"/>
                                <a:gd name="T70" fmla="+- 0 560 547"/>
                                <a:gd name="T71" fmla="*/ 560 h 68"/>
                                <a:gd name="T72" fmla="+- 0 931 877"/>
                                <a:gd name="T73" fmla="*/ T72 w 484"/>
                                <a:gd name="T74" fmla="+- 0 560 547"/>
                                <a:gd name="T75" fmla="*/ 560 h 68"/>
                                <a:gd name="T76" fmla="+- 0 931 877"/>
                                <a:gd name="T77" fmla="*/ T76 w 484"/>
                                <a:gd name="T78" fmla="+- 0 560 547"/>
                                <a:gd name="T79" fmla="*/ 560 h 68"/>
                                <a:gd name="T80" fmla="+- 0 929 877"/>
                                <a:gd name="T81" fmla="*/ T80 w 484"/>
                                <a:gd name="T82" fmla="+- 0 555 547"/>
                                <a:gd name="T83" fmla="*/ 555 h 68"/>
                                <a:gd name="T84" fmla="+- 0 920 877"/>
                                <a:gd name="T85" fmla="*/ T84 w 484"/>
                                <a:gd name="T86" fmla="+- 0 550 547"/>
                                <a:gd name="T87" fmla="*/ 550 h 68"/>
                                <a:gd name="T88" fmla="+- 0 913 877"/>
                                <a:gd name="T89" fmla="*/ T88 w 484"/>
                                <a:gd name="T90" fmla="+- 0 549 547"/>
                                <a:gd name="T91" fmla="*/ 54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4" h="68">
                                  <a:moveTo>
                                    <a:pt x="36" y="2"/>
                                  </a:moveTo>
                                  <a:lnTo>
                                    <a:pt x="0" y="2"/>
                                  </a:lnTo>
                                  <a:lnTo>
                                    <a:pt x="0" y="67"/>
                                  </a:lnTo>
                                  <a:lnTo>
                                    <a:pt x="39" y="67"/>
                                  </a:lnTo>
                                  <a:lnTo>
                                    <a:pt x="46" y="65"/>
                                  </a:lnTo>
                                  <a:lnTo>
                                    <a:pt x="55" y="59"/>
                                  </a:lnTo>
                                  <a:lnTo>
                                    <a:pt x="57" y="55"/>
                                  </a:lnTo>
                                  <a:lnTo>
                                    <a:pt x="18" y="55"/>
                                  </a:lnTo>
                                  <a:lnTo>
                                    <a:pt x="18" y="38"/>
                                  </a:lnTo>
                                  <a:lnTo>
                                    <a:pt x="54" y="38"/>
                                  </a:lnTo>
                                  <a:lnTo>
                                    <a:pt x="52" y="35"/>
                                  </a:lnTo>
                                  <a:lnTo>
                                    <a:pt x="49" y="33"/>
                                  </a:lnTo>
                                  <a:lnTo>
                                    <a:pt x="45" y="32"/>
                                  </a:lnTo>
                                  <a:lnTo>
                                    <a:pt x="48" y="31"/>
                                  </a:lnTo>
                                  <a:lnTo>
                                    <a:pt x="50" y="29"/>
                                  </a:lnTo>
                                  <a:lnTo>
                                    <a:pt x="52" y="27"/>
                                  </a:lnTo>
                                  <a:lnTo>
                                    <a:pt x="18" y="27"/>
                                  </a:lnTo>
                                  <a:lnTo>
                                    <a:pt x="18" y="13"/>
                                  </a:lnTo>
                                  <a:lnTo>
                                    <a:pt x="54" y="13"/>
                                  </a:lnTo>
                                  <a:lnTo>
                                    <a:pt x="52" y="8"/>
                                  </a:lnTo>
                                  <a:lnTo>
                                    <a:pt x="43" y="3"/>
                                  </a:lnTo>
                                  <a:lnTo>
                                    <a:pt x="36"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5"/>
                          <wps:cNvSpPr>
                            <a:spLocks/>
                          </wps:cNvSpPr>
                          <wps:spPr bwMode="auto">
                            <a:xfrm>
                              <a:off x="877" y="547"/>
                              <a:ext cx="484" cy="68"/>
                            </a:xfrm>
                            <a:custGeom>
                              <a:avLst/>
                              <a:gdLst>
                                <a:gd name="T0" fmla="+- 0 952 877"/>
                                <a:gd name="T1" fmla="*/ T0 w 484"/>
                                <a:gd name="T2" fmla="+- 0 549 547"/>
                                <a:gd name="T3" fmla="*/ 549 h 68"/>
                                <a:gd name="T4" fmla="+- 0 932 877"/>
                                <a:gd name="T5" fmla="*/ T4 w 484"/>
                                <a:gd name="T6" fmla="+- 0 549 547"/>
                                <a:gd name="T7" fmla="*/ 549 h 68"/>
                                <a:gd name="T8" fmla="+- 0 959 877"/>
                                <a:gd name="T9" fmla="*/ T8 w 484"/>
                                <a:gd name="T10" fmla="+- 0 586 547"/>
                                <a:gd name="T11" fmla="*/ 586 h 68"/>
                                <a:gd name="T12" fmla="+- 0 959 877"/>
                                <a:gd name="T13" fmla="*/ T12 w 484"/>
                                <a:gd name="T14" fmla="+- 0 614 547"/>
                                <a:gd name="T15" fmla="*/ 614 h 68"/>
                                <a:gd name="T16" fmla="+- 0 977 877"/>
                                <a:gd name="T17" fmla="*/ T16 w 484"/>
                                <a:gd name="T18" fmla="+- 0 614 547"/>
                                <a:gd name="T19" fmla="*/ 614 h 68"/>
                                <a:gd name="T20" fmla="+- 0 977 877"/>
                                <a:gd name="T21" fmla="*/ T20 w 484"/>
                                <a:gd name="T22" fmla="+- 0 586 547"/>
                                <a:gd name="T23" fmla="*/ 586 h 68"/>
                                <a:gd name="T24" fmla="+- 0 987 877"/>
                                <a:gd name="T25" fmla="*/ T24 w 484"/>
                                <a:gd name="T26" fmla="+- 0 572 547"/>
                                <a:gd name="T27" fmla="*/ 572 h 68"/>
                                <a:gd name="T28" fmla="+- 0 968 877"/>
                                <a:gd name="T29" fmla="*/ T28 w 484"/>
                                <a:gd name="T30" fmla="+- 0 572 547"/>
                                <a:gd name="T31" fmla="*/ 572 h 68"/>
                                <a:gd name="T32" fmla="+- 0 952 877"/>
                                <a:gd name="T33" fmla="*/ T32 w 484"/>
                                <a:gd name="T34" fmla="+- 0 549 547"/>
                                <a:gd name="T35" fmla="*/ 54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4" h="68">
                                  <a:moveTo>
                                    <a:pt x="75" y="2"/>
                                  </a:moveTo>
                                  <a:lnTo>
                                    <a:pt x="55" y="2"/>
                                  </a:lnTo>
                                  <a:lnTo>
                                    <a:pt x="82" y="39"/>
                                  </a:lnTo>
                                  <a:lnTo>
                                    <a:pt x="82" y="67"/>
                                  </a:lnTo>
                                  <a:lnTo>
                                    <a:pt x="100" y="67"/>
                                  </a:lnTo>
                                  <a:lnTo>
                                    <a:pt x="100" y="39"/>
                                  </a:lnTo>
                                  <a:lnTo>
                                    <a:pt x="110" y="25"/>
                                  </a:lnTo>
                                  <a:lnTo>
                                    <a:pt x="91" y="25"/>
                                  </a:lnTo>
                                  <a:lnTo>
                                    <a:pt x="7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6"/>
                          <wps:cNvSpPr>
                            <a:spLocks/>
                          </wps:cNvSpPr>
                          <wps:spPr bwMode="auto">
                            <a:xfrm>
                              <a:off x="877" y="547"/>
                              <a:ext cx="484" cy="68"/>
                            </a:xfrm>
                            <a:custGeom>
                              <a:avLst/>
                              <a:gdLst>
                                <a:gd name="T0" fmla="+- 0 931 877"/>
                                <a:gd name="T1" fmla="*/ T0 w 484"/>
                                <a:gd name="T2" fmla="+- 0 585 547"/>
                                <a:gd name="T3" fmla="*/ 585 h 68"/>
                                <a:gd name="T4" fmla="+- 0 909 877"/>
                                <a:gd name="T5" fmla="*/ T4 w 484"/>
                                <a:gd name="T6" fmla="+- 0 585 547"/>
                                <a:gd name="T7" fmla="*/ 585 h 68"/>
                                <a:gd name="T8" fmla="+- 0 912 877"/>
                                <a:gd name="T9" fmla="*/ T8 w 484"/>
                                <a:gd name="T10" fmla="+- 0 586 547"/>
                                <a:gd name="T11" fmla="*/ 586 h 68"/>
                                <a:gd name="T12" fmla="+- 0 915 877"/>
                                <a:gd name="T13" fmla="*/ T12 w 484"/>
                                <a:gd name="T14" fmla="+- 0 589 547"/>
                                <a:gd name="T15" fmla="*/ 589 h 68"/>
                                <a:gd name="T16" fmla="+- 0 916 877"/>
                                <a:gd name="T17" fmla="*/ T16 w 484"/>
                                <a:gd name="T18" fmla="+- 0 591 547"/>
                                <a:gd name="T19" fmla="*/ 591 h 68"/>
                                <a:gd name="T20" fmla="+- 0 916 877"/>
                                <a:gd name="T21" fmla="*/ T20 w 484"/>
                                <a:gd name="T22" fmla="+- 0 596 547"/>
                                <a:gd name="T23" fmla="*/ 596 h 68"/>
                                <a:gd name="T24" fmla="+- 0 915 877"/>
                                <a:gd name="T25" fmla="*/ T24 w 484"/>
                                <a:gd name="T26" fmla="+- 0 599 547"/>
                                <a:gd name="T27" fmla="*/ 599 h 68"/>
                                <a:gd name="T28" fmla="+- 0 913 877"/>
                                <a:gd name="T29" fmla="*/ T28 w 484"/>
                                <a:gd name="T30" fmla="+- 0 600 547"/>
                                <a:gd name="T31" fmla="*/ 600 h 68"/>
                                <a:gd name="T32" fmla="+- 0 912 877"/>
                                <a:gd name="T33" fmla="*/ T32 w 484"/>
                                <a:gd name="T34" fmla="+- 0 601 547"/>
                                <a:gd name="T35" fmla="*/ 601 h 68"/>
                                <a:gd name="T36" fmla="+- 0 909 877"/>
                                <a:gd name="T37" fmla="*/ T36 w 484"/>
                                <a:gd name="T38" fmla="+- 0 602 547"/>
                                <a:gd name="T39" fmla="*/ 602 h 68"/>
                                <a:gd name="T40" fmla="+- 0 934 877"/>
                                <a:gd name="T41" fmla="*/ T40 w 484"/>
                                <a:gd name="T42" fmla="+- 0 602 547"/>
                                <a:gd name="T43" fmla="*/ 602 h 68"/>
                                <a:gd name="T44" fmla="+- 0 934 877"/>
                                <a:gd name="T45" fmla="*/ T44 w 484"/>
                                <a:gd name="T46" fmla="+- 0 601 547"/>
                                <a:gd name="T47" fmla="*/ 601 h 68"/>
                                <a:gd name="T48" fmla="+- 0 934 877"/>
                                <a:gd name="T49" fmla="*/ T48 w 484"/>
                                <a:gd name="T50" fmla="+- 0 591 547"/>
                                <a:gd name="T51" fmla="*/ 591 h 68"/>
                                <a:gd name="T52" fmla="+- 0 933 877"/>
                                <a:gd name="T53" fmla="*/ T52 w 484"/>
                                <a:gd name="T54" fmla="+- 0 587 547"/>
                                <a:gd name="T55" fmla="*/ 587 h 68"/>
                                <a:gd name="T56" fmla="+- 0 931 877"/>
                                <a:gd name="T57" fmla="*/ T56 w 484"/>
                                <a:gd name="T58" fmla="+- 0 585 547"/>
                                <a:gd name="T59" fmla="*/ 58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4" h="68">
                                  <a:moveTo>
                                    <a:pt x="54" y="38"/>
                                  </a:moveTo>
                                  <a:lnTo>
                                    <a:pt x="32" y="38"/>
                                  </a:lnTo>
                                  <a:lnTo>
                                    <a:pt x="35" y="39"/>
                                  </a:lnTo>
                                  <a:lnTo>
                                    <a:pt x="38" y="42"/>
                                  </a:lnTo>
                                  <a:lnTo>
                                    <a:pt x="39" y="44"/>
                                  </a:lnTo>
                                  <a:lnTo>
                                    <a:pt x="39" y="49"/>
                                  </a:lnTo>
                                  <a:lnTo>
                                    <a:pt x="38" y="52"/>
                                  </a:lnTo>
                                  <a:lnTo>
                                    <a:pt x="36" y="53"/>
                                  </a:lnTo>
                                  <a:lnTo>
                                    <a:pt x="35" y="54"/>
                                  </a:lnTo>
                                  <a:lnTo>
                                    <a:pt x="32" y="55"/>
                                  </a:lnTo>
                                  <a:lnTo>
                                    <a:pt x="57" y="55"/>
                                  </a:lnTo>
                                  <a:lnTo>
                                    <a:pt x="57" y="54"/>
                                  </a:lnTo>
                                  <a:lnTo>
                                    <a:pt x="57" y="44"/>
                                  </a:lnTo>
                                  <a:lnTo>
                                    <a:pt x="56" y="40"/>
                                  </a:lnTo>
                                  <a:lnTo>
                                    <a:pt x="54" y="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7"/>
                          <wps:cNvSpPr>
                            <a:spLocks/>
                          </wps:cNvSpPr>
                          <wps:spPr bwMode="auto">
                            <a:xfrm>
                              <a:off x="877" y="547"/>
                              <a:ext cx="484" cy="68"/>
                            </a:xfrm>
                            <a:custGeom>
                              <a:avLst/>
                              <a:gdLst>
                                <a:gd name="T0" fmla="+- 0 1023 877"/>
                                <a:gd name="T1" fmla="*/ T0 w 484"/>
                                <a:gd name="T2" fmla="+- 0 582 547"/>
                                <a:gd name="T3" fmla="*/ 582 h 68"/>
                                <a:gd name="T4" fmla="+- 0 993 877"/>
                                <a:gd name="T5" fmla="*/ T4 w 484"/>
                                <a:gd name="T6" fmla="+- 0 582 547"/>
                                <a:gd name="T7" fmla="*/ 582 h 68"/>
                                <a:gd name="T8" fmla="+- 0 993 877"/>
                                <a:gd name="T9" fmla="*/ T8 w 484"/>
                                <a:gd name="T10" fmla="+- 0 594 547"/>
                                <a:gd name="T11" fmla="*/ 594 h 68"/>
                                <a:gd name="T12" fmla="+- 0 1023 877"/>
                                <a:gd name="T13" fmla="*/ T12 w 484"/>
                                <a:gd name="T14" fmla="+- 0 594 547"/>
                                <a:gd name="T15" fmla="*/ 594 h 68"/>
                                <a:gd name="T16" fmla="+- 0 1023 877"/>
                                <a:gd name="T17" fmla="*/ T16 w 484"/>
                                <a:gd name="T18" fmla="+- 0 582 547"/>
                                <a:gd name="T19" fmla="*/ 582 h 68"/>
                              </a:gdLst>
                              <a:ahLst/>
                              <a:cxnLst>
                                <a:cxn ang="0">
                                  <a:pos x="T1" y="T3"/>
                                </a:cxn>
                                <a:cxn ang="0">
                                  <a:pos x="T5" y="T7"/>
                                </a:cxn>
                                <a:cxn ang="0">
                                  <a:pos x="T9" y="T11"/>
                                </a:cxn>
                                <a:cxn ang="0">
                                  <a:pos x="T13" y="T15"/>
                                </a:cxn>
                                <a:cxn ang="0">
                                  <a:pos x="T17" y="T19"/>
                                </a:cxn>
                              </a:cxnLst>
                              <a:rect l="0" t="0" r="r" b="b"/>
                              <a:pathLst>
                                <a:path w="484" h="68">
                                  <a:moveTo>
                                    <a:pt x="146" y="35"/>
                                  </a:moveTo>
                                  <a:lnTo>
                                    <a:pt x="116" y="35"/>
                                  </a:lnTo>
                                  <a:lnTo>
                                    <a:pt x="116" y="47"/>
                                  </a:lnTo>
                                  <a:lnTo>
                                    <a:pt x="146" y="47"/>
                                  </a:lnTo>
                                  <a:lnTo>
                                    <a:pt x="146" y="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
                          <wps:cNvSpPr>
                            <a:spLocks/>
                          </wps:cNvSpPr>
                          <wps:spPr bwMode="auto">
                            <a:xfrm>
                              <a:off x="877" y="547"/>
                              <a:ext cx="484" cy="68"/>
                            </a:xfrm>
                            <a:custGeom>
                              <a:avLst/>
                              <a:gdLst>
                                <a:gd name="T0" fmla="+- 0 931 877"/>
                                <a:gd name="T1" fmla="*/ T0 w 484"/>
                                <a:gd name="T2" fmla="+- 0 560 547"/>
                                <a:gd name="T3" fmla="*/ 560 h 68"/>
                                <a:gd name="T4" fmla="+- 0 908 877"/>
                                <a:gd name="T5" fmla="*/ T4 w 484"/>
                                <a:gd name="T6" fmla="+- 0 560 547"/>
                                <a:gd name="T7" fmla="*/ 560 h 68"/>
                                <a:gd name="T8" fmla="+- 0 910 877"/>
                                <a:gd name="T9" fmla="*/ T8 w 484"/>
                                <a:gd name="T10" fmla="+- 0 561 547"/>
                                <a:gd name="T11" fmla="*/ 561 h 68"/>
                                <a:gd name="T12" fmla="+- 0 913 877"/>
                                <a:gd name="T13" fmla="*/ T12 w 484"/>
                                <a:gd name="T14" fmla="+- 0 563 547"/>
                                <a:gd name="T15" fmla="*/ 563 h 68"/>
                                <a:gd name="T16" fmla="+- 0 913 877"/>
                                <a:gd name="T17" fmla="*/ T16 w 484"/>
                                <a:gd name="T18" fmla="+- 0 565 547"/>
                                <a:gd name="T19" fmla="*/ 565 h 68"/>
                                <a:gd name="T20" fmla="+- 0 913 877"/>
                                <a:gd name="T21" fmla="*/ T20 w 484"/>
                                <a:gd name="T22" fmla="+- 0 569 547"/>
                                <a:gd name="T23" fmla="*/ 569 h 68"/>
                                <a:gd name="T24" fmla="+- 0 913 877"/>
                                <a:gd name="T25" fmla="*/ T24 w 484"/>
                                <a:gd name="T26" fmla="+- 0 571 547"/>
                                <a:gd name="T27" fmla="*/ 571 h 68"/>
                                <a:gd name="T28" fmla="+- 0 910 877"/>
                                <a:gd name="T29" fmla="*/ T28 w 484"/>
                                <a:gd name="T30" fmla="+- 0 573 547"/>
                                <a:gd name="T31" fmla="*/ 573 h 68"/>
                                <a:gd name="T32" fmla="+- 0 908 877"/>
                                <a:gd name="T33" fmla="*/ T32 w 484"/>
                                <a:gd name="T34" fmla="+- 0 574 547"/>
                                <a:gd name="T35" fmla="*/ 574 h 68"/>
                                <a:gd name="T36" fmla="+- 0 929 877"/>
                                <a:gd name="T37" fmla="*/ T36 w 484"/>
                                <a:gd name="T38" fmla="+- 0 574 547"/>
                                <a:gd name="T39" fmla="*/ 574 h 68"/>
                                <a:gd name="T40" fmla="+- 0 930 877"/>
                                <a:gd name="T41" fmla="*/ T40 w 484"/>
                                <a:gd name="T42" fmla="+- 0 572 547"/>
                                <a:gd name="T43" fmla="*/ 572 h 68"/>
                                <a:gd name="T44" fmla="+- 0 931 877"/>
                                <a:gd name="T45" fmla="*/ T44 w 484"/>
                                <a:gd name="T46" fmla="+- 0 569 547"/>
                                <a:gd name="T47" fmla="*/ 569 h 68"/>
                                <a:gd name="T48" fmla="+- 0 931 877"/>
                                <a:gd name="T49" fmla="*/ T48 w 484"/>
                                <a:gd name="T50" fmla="+- 0 560 547"/>
                                <a:gd name="T51" fmla="*/ 56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4" h="68">
                                  <a:moveTo>
                                    <a:pt x="54" y="13"/>
                                  </a:moveTo>
                                  <a:lnTo>
                                    <a:pt x="31" y="13"/>
                                  </a:lnTo>
                                  <a:lnTo>
                                    <a:pt x="33" y="14"/>
                                  </a:lnTo>
                                  <a:lnTo>
                                    <a:pt x="36" y="16"/>
                                  </a:lnTo>
                                  <a:lnTo>
                                    <a:pt x="36" y="18"/>
                                  </a:lnTo>
                                  <a:lnTo>
                                    <a:pt x="36" y="22"/>
                                  </a:lnTo>
                                  <a:lnTo>
                                    <a:pt x="36" y="24"/>
                                  </a:lnTo>
                                  <a:lnTo>
                                    <a:pt x="33" y="26"/>
                                  </a:lnTo>
                                  <a:lnTo>
                                    <a:pt x="31" y="27"/>
                                  </a:lnTo>
                                  <a:lnTo>
                                    <a:pt x="52" y="27"/>
                                  </a:lnTo>
                                  <a:lnTo>
                                    <a:pt x="53" y="25"/>
                                  </a:lnTo>
                                  <a:lnTo>
                                    <a:pt x="54" y="22"/>
                                  </a:lnTo>
                                  <a:lnTo>
                                    <a:pt x="54"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
                          <wps:cNvSpPr>
                            <a:spLocks/>
                          </wps:cNvSpPr>
                          <wps:spPr bwMode="auto">
                            <a:xfrm>
                              <a:off x="877" y="547"/>
                              <a:ext cx="484" cy="68"/>
                            </a:xfrm>
                            <a:custGeom>
                              <a:avLst/>
                              <a:gdLst>
                                <a:gd name="T0" fmla="+- 0 1003 877"/>
                                <a:gd name="T1" fmla="*/ T0 w 484"/>
                                <a:gd name="T2" fmla="+- 0 549 547"/>
                                <a:gd name="T3" fmla="*/ 549 h 68"/>
                                <a:gd name="T4" fmla="+- 0 984 877"/>
                                <a:gd name="T5" fmla="*/ T4 w 484"/>
                                <a:gd name="T6" fmla="+- 0 549 547"/>
                                <a:gd name="T7" fmla="*/ 549 h 68"/>
                                <a:gd name="T8" fmla="+- 0 968 877"/>
                                <a:gd name="T9" fmla="*/ T8 w 484"/>
                                <a:gd name="T10" fmla="+- 0 572 547"/>
                                <a:gd name="T11" fmla="*/ 572 h 68"/>
                                <a:gd name="T12" fmla="+- 0 987 877"/>
                                <a:gd name="T13" fmla="*/ T12 w 484"/>
                                <a:gd name="T14" fmla="+- 0 572 547"/>
                                <a:gd name="T15" fmla="*/ 572 h 68"/>
                                <a:gd name="T16" fmla="+- 0 1003 877"/>
                                <a:gd name="T17" fmla="*/ T16 w 484"/>
                                <a:gd name="T18" fmla="+- 0 549 547"/>
                                <a:gd name="T19" fmla="*/ 549 h 68"/>
                              </a:gdLst>
                              <a:ahLst/>
                              <a:cxnLst>
                                <a:cxn ang="0">
                                  <a:pos x="T1" y="T3"/>
                                </a:cxn>
                                <a:cxn ang="0">
                                  <a:pos x="T5" y="T7"/>
                                </a:cxn>
                                <a:cxn ang="0">
                                  <a:pos x="T9" y="T11"/>
                                </a:cxn>
                                <a:cxn ang="0">
                                  <a:pos x="T13" y="T15"/>
                                </a:cxn>
                                <a:cxn ang="0">
                                  <a:pos x="T17" y="T19"/>
                                </a:cxn>
                              </a:cxnLst>
                              <a:rect l="0" t="0" r="r" b="b"/>
                              <a:pathLst>
                                <a:path w="484" h="68">
                                  <a:moveTo>
                                    <a:pt x="126" y="2"/>
                                  </a:moveTo>
                                  <a:lnTo>
                                    <a:pt x="107" y="2"/>
                                  </a:lnTo>
                                  <a:lnTo>
                                    <a:pt x="91" y="25"/>
                                  </a:lnTo>
                                  <a:lnTo>
                                    <a:pt x="110" y="25"/>
                                  </a:lnTo>
                                  <a:lnTo>
                                    <a:pt x="126"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80.9pt;margin-top:2.6pt;width:46.5pt;height:8.75pt;z-index:-251640832;mso-position-horizontal-relative:page" coordorigin="567,494" coordsize="9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">
                <v:group id="Group 3" o:spid="_x0000_s1027" style="position:absolute;left:573;top:500;width:918;height:163" coordorigin="573,500" coordsize="91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 o:spid="_x0000_s1028" style="position:absolute;left:573;top:500;width:918;height:163;visibility:visible;mso-wrap-style:square;v-text-anchor:top" coordsize="91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TQ8UA&#10;AADbAAAADwAAAGRycy9kb3ducmV2LnhtbESPT2vCQBTE74LfYXlCb7qpqJToRkSQtlAKpj3U2yP7&#10;8odm38bdrUm+fbdQ8DjMzG+Y3X4wrbiR841lBY+LBARxYXXDlYLPj9P8CYQPyBpby6RgJA/7bDrZ&#10;Yaptz2e65aESEcI+RQV1CF0qpS9qMugXtiOOXmmdwRClq6R22Ee4aeUySTbSYMNxocaOjjUV3/mP&#10;UWCvz6v12L8Nh9fgvsoqPy4v76NSD7PhsAURaAj38H/7RStYr+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RNDxQAAANsAAAAPAAAAAAAAAAAAAAAAAJgCAABkcnMv&#10;ZG93bnJldi54bWxQSwUGAAAAAAQABAD1AAAAigMAAAAA&#10;" path="m,l918,r,162l,162,,xe" filled="f" strokeweight=".21344mm">
                    <v:path arrowok="t" o:connecttype="custom" o:connectlocs="0,500;918,500;918,662;0,662;0,500" o:connectangles="0,0,0,0,0"/>
                  </v:shape>
                </v:group>
                <v:group id="Group 5" o:spid="_x0000_s1029" style="position:absolute;left:590;top:516;width:883;height:130" coordorigin="590,516" coordsize="88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 o:spid="_x0000_s1030" style="position:absolute;left:590;top:516;width:883;height:130;visibility:visible;mso-wrap-style:square;v-text-anchor:top" coordsize="88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oMsQA&#10;AADbAAAADwAAAGRycy9kb3ducmV2LnhtbESPQWvCQBSE7wX/w/KE3urG0kiJriEIhdLmopZ4fWSf&#10;STT7Ns1uk/Tfu0Khx2FmvmE26WRaMVDvGssKlosIBHFpdcOVgq/j29MrCOeRNbaWScEvOUi3s4cN&#10;JtqOvKfh4CsRIOwSVFB73yVSurImg25hO+LgnW1v0AfZV1L3OAa4aeVzFK2kwYbDQo0d7Woqr4cf&#10;o6DgS1zkrtznn6cu+4hRvnxnZ6Ue51O2BuFp8v/hv/a7VhCv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aDLEAAAA2wAAAA8AAAAAAAAAAAAAAAAAmAIAAGRycy9k&#10;b3ducmV2LnhtbFBLBQYAAAAABAAEAPUAAACJAwAAAAA=&#10;" path="m,l883,r,130l,130,,e" fillcolor="black" stroked="f">
                    <v:path arrowok="t" o:connecttype="custom" o:connectlocs="0,516;883,516;883,646;0,646;0,516" o:connectangles="0,0,0,0,0"/>
                  </v:shape>
                </v:group>
                <v:group id="Group 7" o:spid="_x0000_s1031" style="position:absolute;left:590;top:516;width:258;height:130" coordorigin="590,516" coordsize="25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8" o:spid="_x0000_s1032" style="position:absolute;left:590;top:516;width:258;height:130;visibility:visible;mso-wrap-style:square;v-text-anchor:top" coordsize="25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ZWMEA&#10;AADbAAAADwAAAGRycy9kb3ducmV2LnhtbERPz2vCMBS+C/sfwhvspqkDh1SjiENWelstst0eybMt&#10;Ni+lydpuf/1yEDx+fL+3+8m2YqDeN44VLBcJCGLtTMOVgvJ8mq9B+IBssHVMCn7Jw373NNtiatzI&#10;nzQUoRIxhH2KCuoQulRKr2uy6BeuI47c1fUWQ4R9JU2PYwy3rXxNkjdpseHYUGNHx5r0rfixCv6+&#10;9Yjlu5xOX5dS55dV/uEyVOrleTpsQASawkN8d2dGwSqOjV/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mVjBAAAA2wAAAA8AAAAAAAAAAAAAAAAAmAIAAGRycy9kb3du&#10;cmV2LnhtbFBLBQYAAAAABAAEAPUAAACGAwAAAAA=&#10;" path="m,l,130r233,l245,113r8,-18l258,75,257,52,252,32,244,15,,e" fillcolor="#9fa9a3" stroked="f">
                    <v:path arrowok="t" o:connecttype="custom" o:connectlocs="0,516;0,646;233,646;245,629;253,611;258,591;257,568;252,548;244,531;0,516" o:connectangles="0,0,0,0,0,0,0,0,0,0"/>
                  </v:shape>
                </v:group>
                <v:group id="Group 9" o:spid="_x0000_s1033" style="position:absolute;left:636;top:516;width:155;height:130" coordorigin="636,516" coordsize="15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0" o:spid="_x0000_s1034" style="position:absolute;left:636;top:516;width:155;height:130;visibility:visible;mso-wrap-style:square;v-text-anchor:top" coordsize="15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b4A&#10;AADbAAAADwAAAGRycy9kb3ducmV2LnhtbERPTYvCMBC9C/6HMIIXWVMVdOkaRQXBQz1Y3fvQjG0x&#10;mZQmav335iB4fLzv5bqzRjyo9bVjBZNxAoK4cLrmUsHlvP/5BeEDskbjmBS8yMN61e8tMdXuySd6&#10;5KEUMYR9igqqEJpUSl9UZNGPXUMcuatrLYYI21LqFp8x3Bo5TZK5tFhzbKiwoV1FxS2/WwXZDs3i&#10;NDpkW5PNyMn/421bH5UaDrrNH4hAXfiKP+6DVjCP6+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Em/m+AAAA2wAAAA8AAAAAAAAAAAAAAAAAmAIAAGRycy9kb3ducmV2&#10;LnhtbFBLBQYAAAAABAAEAPUAAACDAwAAAAA=&#10;" path="m109,8l43,8,28,16,13,32,3,51,,73,1,87r7,19l21,123r18,12l46,138r67,l127,130r15,-16l152,95r3,-22l154,59,147,40,134,23,117,11,109,8e" stroked="f">
                    <v:path arrowok="t" o:connecttype="custom" o:connectlocs="109,524;43,524;28,532;13,548;3,567;0,589;1,603;8,622;21,639;39,651;46,654;113,654;127,646;142,630;152,611;155,589;154,575;147,556;134,539;117,527;109,524" o:connectangles="0,0,0,0,0,0,0,0,0,0,0,0,0,0,0,0,0,0,0,0,0"/>
                  </v:shape>
                </v:group>
                <v:group id="Group 11" o:spid="_x0000_s1035" style="position:absolute;left:625;top:516;width:178;height:130" coordorigin="625,516" coordsize="17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2" o:spid="_x0000_s1036"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oYcMA&#10;AADbAAAADwAAAGRycy9kb3ducmV2LnhtbESPQWsCMRSE7wX/Q3hCbzWrUJHVKCIICkqrrZ4fm+dm&#10;cfOyJHFd/31TEDwOM/MNM1t0thYt+VA5VjAcZCCIC6crLhX8/qw/JiBCRNZYOyYFDwqwmPfeZphr&#10;d+cDtcdYigThkKMCE2OTSxkKQxbDwDXEybs4bzEm6UupPd4T3NZylGVjabHitGCwoZWh4nq8WQXX&#10;iTf1vtoecNdd2u/z5/pr/zgp9d7vllMQkbr4Cj/bG61gPIL/L+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6oYcMAAADbAAAADwAAAAAAAAAAAAAAAACYAgAAZHJzL2Rv&#10;d25yZXYueG1sUEsFBgAAAAAEAAQA9QAAAIgDAAAAAA==&#10;" path="m68,18r-34,l18,32,8,48,2,67,,89r,2l4,109r9,18l28,144r5,4l66,148,51,141,33,127,24,113,18,94,17,73r,-5l24,51,37,34r4,-3l55,21,68,18e" fillcolor="black" stroked="f">
                    <v:path arrowok="t" o:connecttype="custom" o:connectlocs="68,534;34,534;18,548;8,564;2,583;0,605;0,607;4,625;13,643;28,660;33,664;66,664;51,657;33,643;24,629;18,610;17,589;17,584;24,567;37,550;41,547;55,537;68,534" o:connectangles="0,0,0,0,0,0,0,0,0,0,0,0,0,0,0,0,0,0,0,0,0,0,0"/>
                  </v:shape>
                  <v:shape id="Freeform 13" o:spid="_x0000_s1037"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N+sQA&#10;AADbAAAADwAAAGRycy9kb3ducmV2LnhtbESPUWvCMBSF3wX/Q7jC3jSdYyLVVIYgbDCZus3nS3Pb&#10;FJubkmS1/vtlIOzxcM75Dme9GWwrevKhcazgcZaBIC6dbrhW8PW5my5BhIissXVMCm4UYFOMR2vM&#10;tbvykfpTrEWCcMhRgYmxy6UMpSGLYeY64uRVzluMSfpaao/XBLetnGfZQlpsOC0Y7GhrqLycfqyC&#10;y9Kbdt+8HfF9qPrD+Xn3sb99K/UwGV5WICIN8T98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DfrEAAAA2wAAAA8AAAAAAAAAAAAAAAAAmAIAAGRycy9k&#10;b3ducmV2LnhtbFBLBQYAAAAABAAEAPUAAACJAwAAAAA=&#10;" path="m145,18r-34,l115,19r17,11l152,48r7,18l161,89r-4,17l146,123r-19,18l112,148r31,l159,135r10,-16l175,100r2,-23l174,57,165,39,152,23r-3,-2l145,18e" fillcolor="black" stroked="f">
                    <v:path arrowok="t" o:connecttype="custom" o:connectlocs="145,534;111,534;115,535;132,546;152,564;159,582;161,605;157,622;146,639;127,657;112,664;143,664;159,651;169,635;175,616;177,593;174,573;165,555;152,539;149,537;145,534" o:connectangles="0,0,0,0,0,0,0,0,0,0,0,0,0,0,0,0,0,0,0,0,0"/>
                  </v:shape>
                  <v:shape id="Freeform 14" o:spid="_x0000_s1038"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VjsQA&#10;AADbAAAADwAAAGRycy9kb3ducmV2LnhtbESPUWvCMBSF3wX/Q7jC3jSdbCLVVIYgbDCZus3nS3Pb&#10;FJubkmS1/vtlIOzxcM75Dme9GWwrevKhcazgcZaBIC6dbrhW8PW5my5BhIissXVMCm4UYFOMR2vM&#10;tbvykfpTrEWCcMhRgYmxy6UMpSGLYeY64uRVzluMSfpaao/XBLetnGfZQlpsOC0Y7GhrqLycfqyC&#10;y9Kbdt+8HfF9qPrD+Xn3sb99K/UwGV5WICIN8T98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lY7EAAAA2wAAAA8AAAAAAAAAAAAAAAAAmAIAAGRycy9k&#10;b3ducmV2LnhtbFBLBQYAAAAABAAEAPUAAACJAwAAAAA=&#10;" path="m75,57r-18,l50,59,40,68r-2,7l38,91r2,6l50,107r6,2l75,109r8,-4l87,98r-29,l54,93r,-20l58,68r29,l83,61,75,57e" fillcolor="black" stroked="f">
                    <v:path arrowok="t" o:connecttype="custom" o:connectlocs="75,573;57,573;50,575;40,584;38,591;38,607;40,613;50,623;56,625;75,625;83,621;87,614;58,614;54,609;54,589;58,584;87,584;83,577;75,573" o:connectangles="0,0,0,0,0,0,0,0,0,0,0,0,0,0,0,0,0,0,0"/>
                  </v:shape>
                  <v:shape id="Freeform 15" o:spid="_x0000_s1039"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wFcQA&#10;AADbAAAADwAAAGRycy9kb3ducmV2LnhtbESPUWvCMBSF3wf+h3CFvc10giKdqchAcDCZdpvPl+a2&#10;KTY3Jclq/feLMNjj4ZzzHc56M9pODORD61jB8ywDQVw53XKj4Otz97QCESKyxs4xKbhRgE0xeVhj&#10;rt2VTzSUsREJwiFHBSbGPpcyVIYshpnriZNXO28xJukbqT1eE9x2cp5lS2mx5bRgsKdXQ9Wl/LEK&#10;LitvukP7dsL3sR6O58Xu43D7VupxOm5fQEQa43/4r73XCpYLuH9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MBXEAAAA2wAAAA8AAAAAAAAAAAAAAAAAmAIAAGRycy9k&#10;b3ducmV2LnhtbFBLBQYAAAAABAAEAPUAAACJAwAAAAA=&#10;" path="m126,57r-18,l102,59,92,68r-2,7l90,91r2,6l102,107r6,2l126,109r8,-4l138,98r-29,l105,93r,-20l109,68r29,l134,61r-8,-4e" fillcolor="black" stroked="f">
                    <v:path arrowok="t" o:connecttype="custom" o:connectlocs="126,573;108,573;102,575;92,584;90,591;90,607;92,613;102,623;108,625;126,625;134,621;138,614;109,614;105,609;105,589;109,584;138,584;134,577;126,573" o:connectangles="0,0,0,0,0,0,0,0,0,0,0,0,0,0,0,0,0,0,0"/>
                  </v:shape>
                  <v:shape id="Freeform 16" o:spid="_x0000_s1040"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uYsMA&#10;AADbAAAADwAAAGRycy9kb3ducmV2LnhtbESPQWsCMRSE74L/ITyhN81a6CKrUUQQLFRatfX82Dw3&#10;i5uXJUnX9d83BcHjMDPfMItVbxvRkQ+1YwXTSQaCuHS65krB92k7noEIEVlj45gU3CnAajkcLLDQ&#10;7sYH6o6xEgnCoUAFJsa2kDKUhiyGiWuJk3dx3mJM0ldSe7wluG3ka5bl0mLNacFgSxtD5fX4axVc&#10;Z940+/r9gB/9pfs6v20/9/cfpV5G/XoOIlIfn+FHe6cV5D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uYsMAAADbAAAADwAAAAAAAAAAAAAAAACYAgAAZHJzL2Rv&#10;d25yZXYueG1sUEsFBgAAAAAEAAQA9QAAAIgDAAAAAA==&#10;" path="m77,90r-2,5l71,98r16,l88,96,77,90e" fillcolor="black" stroked="f">
                    <v:path arrowok="t" o:connecttype="custom" o:connectlocs="77,606;75,611;71,614;87,614;88,612;77,606" o:connectangles="0,0,0,0,0,0"/>
                  </v:shape>
                  <v:shape id="Freeform 17" o:spid="_x0000_s1041"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L+cMA&#10;AADbAAAADwAAAGRycy9kb3ducmV2LnhtbESPQWsCMRSE7wX/Q3iCt5qtUCurUYogtKBYtfX82Dw3&#10;i5uXJUnX9d8bQfA4zMw3zGzR2Vq05EPlWMHbMANBXDhdcang97B6nYAIEVlj7ZgUXCnAYt57mWGu&#10;3YV31O5jKRKEQ44KTIxNLmUoDFkMQ9cQJ+/kvMWYpC+l9nhJcFvLUZaNpcWK04LBhpaGivP+3yo4&#10;T7ypN9X3Dtfdqf05vq+2m+ufUoN+9zkFEamLz/Cj/aUVjD/g/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kL+cMAAADbAAAADwAAAAAAAAAAAAAAAACYAgAAZHJzL2Rv&#10;d25yZXYueG1sUEsFBgAAAAAEAAQA9QAAAIgDAAAAAA==&#10;" path="m128,90r-2,5l122,98r16,l139,96,128,90e" fillcolor="black" stroked="f">
                    <v:path arrowok="t" o:connecttype="custom" o:connectlocs="128,606;126,611;122,614;138,614;139,612;128,606" o:connectangles="0,0,0,0,0,0"/>
                  </v:shape>
                  <v:shape id="Freeform 18" o:spid="_x0000_s1042"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fi8EA&#10;AADbAAAADwAAAGRycy9kb3ducmV2LnhtbERPXWvCMBR9H/gfwhX2NtMJSqlGGYOCA2XTzT1fmmtT&#10;2tyUJGvrv18eBns8nO/tfrKdGMiHxrGC50UGgrhyuuFawddn+ZSDCBFZY+eYFNwpwH43e9hiod3I&#10;ZxousRYphEOBCkyMfSFlqAxZDAvXEyfu5rzFmKCvpfY4pnDbyWWWraXFhlODwZ5eDVXt5ccqaHNv&#10;ulPzdsbjdBs+vlfl++l+VepxPr1sQESa4r/4z33QCt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Wn4vBAAAA2wAAAA8AAAAAAAAAAAAAAAAAmAIAAGRycy9kb3du&#10;cmV2LnhtbFBLBQYAAAAABAAEAPUAAACGAwAAAAA=&#10;" path="m87,68r-17,l74,70r2,5l88,69,87,68e" fillcolor="black" stroked="f">
                    <v:path arrowok="t" o:connecttype="custom" o:connectlocs="87,584;70,584;74,586;76,591;88,585;87,584" o:connectangles="0,0,0,0,0,0"/>
                  </v:shape>
                  <v:shape id="Freeform 19" o:spid="_x0000_s1043" style="position:absolute;left:625;top:516;width:178;height:130;visibility:visible;mso-wrap-style:square;v-text-anchor:top" coordsize="1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6EMMA&#10;AADbAAAADwAAAGRycy9kb3ducmV2LnhtbESP3WoCMRSE7wu+QzgF72q2BUW3RimC0IJi/b0+bI6b&#10;xc3JkqTr+vZGKHg5zMw3zHTe2Vq05EPlWMH7IANBXDhdcangsF++jUGEiKyxdkwKbhRgPuu9TDHX&#10;7spbanexFAnCIUcFJsYmlzIUhiyGgWuIk3d23mJM0pdSe7wmuK3lR5aNpMWK04LBhhaGisvuzyq4&#10;jL2p19XPFlfduf09DZeb9e2oVP+1+/oEEamLz/B/+1srGE3g8SX9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6EMMAAADbAAAADwAAAAAAAAAAAAAAAACYAgAAZHJzL2Rv&#10;d25yZXYueG1sUEsFBgAAAAAEAAQA9QAAAIgDAAAAAA==&#10;" path="m138,68r-16,l125,70r2,5l139,69r-1,-1e" fillcolor="black" stroked="f">
                    <v:path arrowok="t" o:connecttype="custom" o:connectlocs="138,584;122,584;125,586;127,591;139,585;138,584" o:connectangles="0,0,0,0,0,0"/>
                  </v:shape>
                </v:group>
                <v:group id="Group 20" o:spid="_x0000_s1044" style="position:absolute;left:877;top:547;width:484;height:68" coordorigin="877,547" coordsize="4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1" o:spid="_x0000_s1045"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xqMQA&#10;AADbAAAADwAAAGRycy9kb3ducmV2LnhtbESPT2sCMRTE74LfITzBm2atpS1bo2ixoMe6gvT23Dw3&#10;Szcvyyb7p9++EYQeh5n5DbPaDLYSHTW+dKxgMU9AEOdOl1woOGefszcQPiBrrByTgl/ysFmPRytM&#10;tev5i7pTKESEsE9RgQmhTqX0uSGLfu5q4ujdXGMxRNkUUjfYR7it5FOSvEiLJccFgzV9GMp/Tq1V&#10;0O7N8rA78r7Lvp/r/nK7Zsf2qtR0MmzfQQQawn/40T5oBa8L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sajEAAAA2wAAAA8AAAAAAAAAAAAAAAAAmAIAAGRycy9k&#10;b3ducmV2LnhtbFBLBQYAAAAABAAEAPUAAACJAwAAAAA=&#10;" path="m458,2r-21,l411,67r18,l433,55r46,l474,43r-36,l447,17r17,l458,2e" stroked="f">
                    <v:path arrowok="t" o:connecttype="custom" o:connectlocs="458,549;437,549;411,614;429,614;433,602;479,602;474,590;438,590;447,564;464,564;458,549" o:connectangles="0,0,0,0,0,0,0,0,0,0,0"/>
                  </v:shape>
                  <v:shape id="Freeform 22" o:spid="_x0000_s1046"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v38QA&#10;AADbAAAADwAAAGRycy9kb3ducmV2LnhtbESPT2sCMRTE74LfITzBm2bVUsvWKLZY0GNdQXp7bp6b&#10;pZuXZZP902/fFAoeh5n5DbPZDbYSHTW+dKxgMU9AEOdOl1wouGQfsxcQPiBrrByTgh/ysNuORxtM&#10;tev5k7pzKESEsE9RgQmhTqX0uSGLfu5q4ujdXWMxRNkUUjfYR7it5DJJnqXFkuOCwZreDeXf59Yq&#10;aA9mdXw78aHLvp7q/nq/Zaf2ptR0MuxfQQQawiP83z5qBes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L9/EAAAA2wAAAA8AAAAAAAAAAAAAAAAAmAIAAGRycy9k&#10;b3ducmV2LnhtbFBLBQYAAAAABAAEAPUAAACJAwAAAAA=&#10;" path="m479,55r-18,l466,67r18,l479,55e" stroked="f">
                    <v:path arrowok="t" o:connecttype="custom" o:connectlocs="479,602;461,602;466,614;484,614;479,602" o:connectangles="0,0,0,0,0"/>
                  </v:shape>
                  <v:shape id="Freeform 23" o:spid="_x0000_s1047"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KRMQA&#10;AADbAAAADwAAAGRycy9kb3ducmV2LnhtbESPT2sCMRTE74LfITyhN81aSy1bo9iioMe6gvT23Dw3&#10;Szcvyyb7x2/fFAoeh5n5DbPaDLYSHTW+dKxgPktAEOdOl1woOGf76RsIH5A1Vo5JwZ08bNbj0QpT&#10;7Xr+ou4UChEh7FNUYEKoUyl9bsiin7maOHo311gMUTaF1A32EW4r+Zwkr9JiyXHBYE2fhvKfU2sV&#10;tDuzOHwceddl3y91f7lds2N7VeppMmzfQQQawiP83z5oBcsF/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ikTEAAAA2wAAAA8AAAAAAAAAAAAAAAAAmAIAAGRycy9k&#10;b3ducmV2LnhtbFBLBQYAAAAABAAEAPUAAACJAwAAAAA=&#10;" path="m464,17r-17,l457,43r17,l464,17e" stroked="f">
                    <v:path arrowok="t" o:connecttype="custom" o:connectlocs="464,564;447,564;457,590;474,590;464,564" o:connectangles="0,0,0,0,0"/>
                  </v:shape>
                  <v:shape id="Freeform 24" o:spid="_x0000_s1048"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MMQA&#10;AADbAAAADwAAAGRycy9kb3ducmV2LnhtbESPT2sCMRTE7wW/Q3hCbzVrK1q2RrHFgh51BentuXlu&#10;lm5elk32T799Iwgeh5n5DbNcD7YSHTW+dKxgOklAEOdOl1woOGXfL+8gfEDWWDkmBX/kYb0aPS0x&#10;1a7nA3XHUIgIYZ+iAhNCnUrpc0MW/cTVxNG7usZiiLIppG6wj3BbydckmUuLJccFgzV9Gcp/j61V&#10;0G7N2+5zz9su+5nV/fl6yfbtRann8bD5ABFoCI/wvb3TChYz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EjDEAAAA2wAAAA8AAAAAAAAAAAAAAAAAmAIAAGRycy9k&#10;b3ducmV2LnhtbFBLBQYAAAAABAAEAPUAAACJAwAAAAA=&#10;" path="m350,49r,14l354,65r4,1l367,67r5,1l385,68r7,-2l401,59r2,-3l370,56r-4,-1l358,53r-4,-2l350,49e" stroked="f">
                    <v:path arrowok="t" o:connecttype="custom" o:connectlocs="350,596;350,610;354,612;358,613;367,614;372,615;385,615;392,613;401,606;403,603;370,603;366,602;358,600;354,598;350,596" o:connectangles="0,0,0,0,0,0,0,0,0,0,0,0,0,0,0"/>
                  </v:shape>
                  <v:shape id="Freeform 25" o:spid="_x0000_s1049"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3q8QA&#10;AADbAAAADwAAAGRycy9kb3ducmV2LnhtbESPT2sCMRTE74LfITyhN83Walu2RrFFQY91C6W35+a5&#10;Wbp5WTbZP/32jSB4HGbmN8xqM9hKdNT40rGCx1kCgjh3uuRCwVe2n76C8AFZY+WYFPyRh816PFph&#10;ql3Pn9SdQiEihH2KCkwIdSqlzw1Z9DNXE0fv4hqLIcqmkLrBPsJtJedJ8iwtlhwXDNb0YSj/PbVW&#10;QbszT4f3I++67GdR99+Xc3Zsz0o9TIbtG4hAQ7iHb+2DVvCyhO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t6vEAAAA2wAAAA8AAAAAAAAAAAAAAAAAmAIAAGRycy9k&#10;b3ducmV2LnhtbFBLBQYAAAAABAAEAPUAAACJAwAAAAA=&#10;" path="m379,l366,r-6,2l351,9r-2,5l349,26r2,4l357,36r5,2l380,42r3,1l386,45r,2l386,51r-1,2l381,55r-3,1l403,56r1,-2l404,41r-2,-4l395,31r-5,-2l371,25r-2,-1l366,22r-1,-1l365,17r1,-2l370,13r3,-1l399,12r,-8l395,2r-4,l383,1,379,e" stroked="f">
                    <v:path arrowok="t" o:connecttype="custom" o:connectlocs="379,547;366,547;360,549;351,556;349,561;349,573;351,577;357,583;362,585;380,589;383,590;386,592;386,594;386,598;385,600;381,602;378,603;403,603;404,601;404,588;402,584;395,578;390,576;371,572;369,571;366,569;365,568;365,564;366,562;370,560;373,559;399,559;399,551;395,549;391,549;383,548;379,547" o:connectangles="0,0,0,0,0,0,0,0,0,0,0,0,0,0,0,0,0,0,0,0,0,0,0,0,0,0,0,0,0,0,0,0,0,0,0,0,0"/>
                  </v:shape>
                  <v:shape id="Freeform 26" o:spid="_x0000_s1050"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p3MQA&#10;AADbAAAADwAAAGRycy9kb3ducmV2LnhtbESPT2sCMRTE7wW/Q3hCbzWrLbZsjaLFgh51BentuXlu&#10;lm5elk32T7+9EYQeh5n5DbNYDbYSHTW+dKxgOklAEOdOl1woOGXfLx8gfEDWWDkmBX/kYbUcPS0w&#10;1a7nA3XHUIgIYZ+iAhNCnUrpc0MW/cTVxNG7usZiiLIppG6wj3BbyVmSzKXFkuOCwZq+DOW/x9Yq&#10;aLfmdbfZ87bLft7q/ny9ZPv2otTzeFh/ggg0hP/wo73TCt7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KdzEAAAA2wAAAA8AAAAAAAAAAAAAAAAAmAIAAGRycy9k&#10;b3ducmV2LnhtbFBLBQYAAAAABAAEAPUAAACJAwAAAAA=&#10;" path="m399,12r-18,l384,13r8,2l395,16r4,1l399,12e" stroked="f">
                    <v:path arrowok="t" o:connecttype="custom" o:connectlocs="399,559;381,559;384,560;392,562;395,563;399,564;399,559" o:connectangles="0,0,0,0,0,0,0"/>
                  </v:shape>
                  <v:shape id="Freeform 27" o:spid="_x0000_s1051"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MR8QA&#10;AADbAAAADwAAAGRycy9kb3ducmV2LnhtbESPT2sCMRTE74V+h/AK3mq2KrVsjaKioMe6QuntuXlu&#10;lm5elk32j9/eFAoeh5n5DbNYDbYSHTW+dKzgbZyAIM6dLrlQcM72rx8gfEDWWDkmBTfysFo+Py0w&#10;1a7nL+pOoRARwj5FBSaEOpXS54Ys+rGriaN3dY3FEGVTSN1gH+G2kpMkeZcWS44LBmvaGsp/T61V&#10;0O7M9LA58q7LfmZ1/329ZMf2otToZVh/ggg0hEf4v33QCuZz+Ps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djEfEAAAA2wAAAA8AAAAAAAAAAAAAAAAAmAIAAGRycy9k&#10;b3ducmV2LnhtbFBLBQYAAAAABAAEAPUAAACJAwAAAAA=&#10;" path="m337,35r-29,l308,47r29,l337,35e" stroked="f">
                    <v:path arrowok="t" o:connecttype="custom" o:connectlocs="337,582;308,582;308,594;337,594;337,582" o:connectangles="0,0,0,0,0"/>
                  </v:shape>
                  <v:shape id="Freeform 28" o:spid="_x0000_s1052"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YNcEA&#10;AADbAAAADwAAAGRycy9kb3ducmV2LnhtbERPy2rCQBTdF/yH4Qrd1UlbqSU6ES0WdFkjFHfXzE0m&#10;NHMnZCaP/r2zKHR5OO/NdrKNGKjztWMFz4sEBHHhdM2Vgkv++fQOwgdkjY1jUvBLHrbZ7GGDqXYj&#10;f9FwDpWIIexTVGBCaFMpfWHIol+4ljhypesshgi7SuoOxxhuG/mSJG/SYs2xwWBLH4aKn3NvFfQH&#10;83rcn/gw5NdlO36Xt/zU35R6nE+7NYhAU/gX/7mPWsEqjo1f4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CGDXBAAAA2wAAAA8AAAAAAAAAAAAAAAAAmAIAAGRycy9kb3du&#10;cmV2LnhtbFBLBQYAAAAABAAEAPUAAACGAwAAAAA=&#10;" path="m277,l261,r-9,3l239,15r-4,9l235,44r4,9l252,65r9,3l277,68r3,-1l288,66r3,-1l294,63r,-7l268,56r-5,-2l256,46r-2,-5l254,27r2,-5l263,14r5,-2l294,12r,-7l291,4,288,2,280,1,277,e" stroked="f">
                    <v:path arrowok="t" o:connecttype="custom" o:connectlocs="277,547;261,547;252,550;239,562;235,571;235,591;239,600;252,612;261,615;277,615;280,614;288,613;291,612;294,610;294,603;268,603;263,601;256,593;254,588;254,574;256,569;263,561;268,559;294,559;294,552;291,551;288,549;280,548;277,547" o:connectangles="0,0,0,0,0,0,0,0,0,0,0,0,0,0,0,0,0,0,0,0,0,0,0,0,0,0,0,0,0"/>
                  </v:shape>
                  <v:shape id="Freeform 29" o:spid="_x0000_s1053"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9rsQA&#10;AADbAAAADwAAAGRycy9kb3ducmV2LnhtbESPT2sCMRTE74LfITyhN83Wim23RrFFQY91C6W35+a5&#10;Wbp5WTbZP/32jSB4HGbmN8xqM9hKdNT40rGCx1kCgjh3uuRCwVe2n76A8AFZY+WYFPyRh816PFph&#10;ql3Pn9SdQiEihH2KCkwIdSqlzw1Z9DNXE0fv4hqLIcqmkLrBPsJtJedJspQWS44LBmv6MJT/nlqr&#10;oN2Zp8P7kXdd9rOo++/LOTu2Z6UeJsP2DUSgIdzDt/ZBK3h+he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va7EAAAA2wAAAA8AAAAAAAAAAAAAAAAAmAIAAGRycy9k&#10;b3ducmV2LnhtbFBLBQYAAAAABAAEAPUAAACJAwAAAAA=&#10;" path="m294,50r-3,2l288,53r-7,2l278,56r16,l294,50e" stroked="f">
                    <v:path arrowok="t" o:connecttype="custom" o:connectlocs="294,597;291,599;288,600;281,602;278,603;294,603;294,597" o:connectangles="0,0,0,0,0,0,0"/>
                  </v:shape>
                  <v:shape id="Freeform 30" o:spid="_x0000_s1054"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kFMAA&#10;AADbAAAADwAAAGRycy9kb3ducmV2LnhtbERPy4rCMBTdD/gP4QruxlRHBqlGUXFAl2MHBnfX5toU&#10;m5vSpA//3iwGZnk47/V2sJXoqPGlYwWzaQKCOHe65ELBT/b1vgThA7LGyjEpeJKH7Wb0tsZUu56/&#10;qbuEQsQQ9ikqMCHUqZQ+N2TRT11NHLm7ayyGCJtC6gb7GG4rOU+ST2mx5NhgsKaDofxxaa2C9mg+&#10;TvszH7vsuqj73/stO7c3pSbjYbcCEWgI/+I/90krWMb18U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FkFMAAAADbAAAADwAAAAAAAAAAAAAAAACYAgAAZHJzL2Rvd25y&#10;ZXYueG1sUEsFBgAAAAAEAAQA9QAAAIUDAAAAAA==&#10;" path="m294,12r-16,l281,13r7,2l291,17r3,2l294,12e" stroked="f">
                    <v:path arrowok="t" o:connecttype="custom" o:connectlocs="294,559;278,559;281,560;288,562;291,564;294,566;294,559" o:connectangles="0,0,0,0,0,0,0"/>
                  </v:shape>
                  <v:shape id="Freeform 31" o:spid="_x0000_s1055"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Bj8QA&#10;AADbAAAADwAAAGRycy9kb3ducmV2LnhtbESPzWrDMBCE74W8g9hAb42cNoTgRg5NSCE5Ni6U3jbW&#10;2jK1VsaSf/r2VaCQ4zAz3zDb3WQbMVDna8cKlosEBHHhdM2Vgs/8/WkDwgdkjY1jUvBLHnbZ7GGL&#10;qXYjf9BwCZWIEPYpKjAhtKmUvjBk0S9cSxy90nUWQ5RdJXWHY4TbRj4nyVparDkuGGzpYKj4ufRW&#10;QX80L6f9mY9D/r1qx6/ymp/7q1KP8+ntFUSgKdzD/+2TVrBZ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wY/EAAAA2wAAAA8AAAAAAAAAAAAAAAAAmAIAAGRycy9k&#10;b3ducmV2LnhtbFBLBQYAAAAABAAEAPUAAACJAwAAAAA=&#10;" path="m180,2r-20,l160,67r17,l177,22r14,l180,2e" stroked="f">
                    <v:path arrowok="t" o:connecttype="custom" o:connectlocs="180,549;160,549;160,614;177,614;177,569;191,569;180,549" o:connectangles="0,0,0,0,0,0,0"/>
                  </v:shape>
                  <v:shape id="Freeform 32" o:spid="_x0000_s1056"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f+MMA&#10;AADbAAAADwAAAGRycy9kb3ducmV2LnhtbESPT2sCMRTE7wW/Q3iCt5pVS5HVKFos6LFuoXh7bp6b&#10;xc3Lssn+8dubQqHHYWZ+w6y3g61ER40vHSuYTRMQxLnTJRcKvrPP1yUIH5A1Vo5JwYM8bDejlzWm&#10;2vX8Rd05FCJC2KeowIRQp1L63JBFP3U1cfRurrEYomwKqRvsI9xWcp4k79JiyXHBYE0fhvL7ubUK&#10;2oNZHPcnPnTZ5a3uf27X7NRelZqMh90KRKAh/If/2ketYDmH3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9f+MMAAADbAAAADwAAAAAAAAAAAAAAAACYAgAAZHJzL2Rv&#10;d25yZXYueG1sUEsFBgAAAAAEAAQA9QAAAIgDAAAAAA==&#10;" path="m191,22r-14,l202,67r20,l222,46r-17,l191,22e" stroked="f">
                    <v:path arrowok="t" o:connecttype="custom" o:connectlocs="191,569;177,569;202,614;222,614;222,593;205,593;191,569" o:connectangles="0,0,0,0,0,0,0"/>
                  </v:shape>
                  <v:shape id="Freeform 33" o:spid="_x0000_s1057"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6Y8MA&#10;AADbAAAADwAAAGRycy9kb3ducmV2LnhtbESPT2sCMRTE7wW/Q3iCt5q1liKrUbQo6LFuoXh7bp6b&#10;xc3Lssn+8dubQqHHYWZ+w6w2g61ER40vHSuYTRMQxLnTJRcKvrPD6wKED8gaK8ek4EEeNuvRywpT&#10;7Xr+ou4cChEh7FNUYEKoUyl9bsiin7qaOHo311gMUTaF1A32EW4r+ZYkH9JiyXHBYE2fhvL7ubUK&#10;2r2ZH3cn3nfZ5b3uf27X7NRelZqMh+0SRKAh/If/2ketYDGH3y/x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6Y8MAAADbAAAADwAAAAAAAAAAAAAAAACYAgAAZHJzL2Rv&#10;d25yZXYueG1sUEsFBgAAAAAEAAQA9QAAAIgDAAAAAA==&#10;" path="m222,2r-17,l205,46r17,l222,2e" stroked="f">
                    <v:path arrowok="t" o:connecttype="custom" o:connectlocs="222,549;205,549;205,593;222,593;222,549" o:connectangles="0,0,0,0,0"/>
                  </v:shape>
                  <v:shape id="Freeform 34" o:spid="_x0000_s1058"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iF8MA&#10;AADbAAAADwAAAGRycy9kb3ducmV2LnhtbESPT2sCMRTE7wW/Q3iCt5rVSpGtUapY0KOuIL09N8/N&#10;0s3Lssn+8ds3BaHHYWZ+w6w2g61ER40vHSuYTRMQxLnTJRcKLtnX6xKED8gaK8ek4EEeNuvRywpT&#10;7Xo+UXcOhYgQ9ikqMCHUqZQ+N2TRT11NHL27ayyGKJtC6gb7CLeVnCfJu7RYclwwWNPOUP5zbq2C&#10;dm/eDtsj77vse1H31/stO7Y3pSbj4fMDRKAh/Ief7YNWsFz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piF8MAAADbAAAADwAAAAAAAAAAAAAAAACYAgAAZHJzL2Rv&#10;d25yZXYueG1sUEsFBgAAAAAEAAQA9QAAAIgDAAAAAA==&#10;" path="m36,2l,2,,67r39,l46,65r9,-6l57,55r-39,l18,38r36,l52,35,49,33,45,32r3,-1l50,29r2,-2l18,27r,-14l54,13,52,8,43,3,36,2e" stroked="f">
                    <v:path arrowok="t" o:connecttype="custom" o:connectlocs="36,549;0,549;0,614;39,614;46,612;55,606;57,602;18,602;18,585;54,585;52,582;49,580;45,579;48,578;50,576;52,574;18,574;18,560;54,560;54,560;52,555;43,550;36,549" o:connectangles="0,0,0,0,0,0,0,0,0,0,0,0,0,0,0,0,0,0,0,0,0,0,0"/>
                  </v:shape>
                  <v:shape id="Freeform 35" o:spid="_x0000_s1059"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HjMQA&#10;AADbAAAADwAAAGRycy9kb3ducmV2LnhtbESPT2sCMRTE74V+h/AK3mq2akW2RlFR0GPdQuntuXlu&#10;lm5elk32j9/eFAoeh5n5DbNcD7YSHTW+dKzgbZyAIM6dLrlQ8JUdXhcgfEDWWDkmBTfysF49Py0x&#10;1a7nT+rOoRARwj5FBSaEOpXS54Ys+rGriaN3dY3FEGVTSN1gH+G2kpMkmUuLJccFgzXtDOW/59Yq&#10;aPdmetyeeN9lP7O6/75eslN7UWr0Mmw+QAQawiP83z5qBYt3+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x4zEAAAA2wAAAA8AAAAAAAAAAAAAAAAAmAIAAGRycy9k&#10;b3ducmV2LnhtbFBLBQYAAAAABAAEAPUAAACJAwAAAAA=&#10;" path="m75,2l55,2,82,39r,28l100,67r,-28l110,25r-19,l75,2e" stroked="f">
                    <v:path arrowok="t" o:connecttype="custom" o:connectlocs="75,549;55,549;82,586;82,614;100,614;100,586;110,572;91,572;75,549" o:connectangles="0,0,0,0,0,0,0,0,0"/>
                  </v:shape>
                  <v:shape id="Freeform 36" o:spid="_x0000_s1060"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Z+8MA&#10;AADbAAAADwAAAGRycy9kb3ducmV2LnhtbESPT2sCMRTE7wW/Q3iCt5q1LSJbo9RiQY+6gvT23Dw3&#10;Szcvyyb7x2/fCILHYWZ+wyzXg61ER40vHSuYTRMQxLnTJRcKTtnP6wKED8gaK8ek4EYe1qvRyxJT&#10;7Xo+UHcMhYgQ9ikqMCHUqZQ+N2TRT11NHL2rayyGKJtC6gb7CLeVfEuSubRYclwwWNO3ofzv2FoF&#10;7da87zZ73nbZ70fdn6+XbN9elJqMh69PEIGG8Aw/2jutYDGH+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Z+8MAAADbAAAADwAAAAAAAAAAAAAAAACYAgAAZHJzL2Rv&#10;d25yZXYueG1sUEsFBgAAAAAEAAQA9QAAAIgDAAAAAA==&#10;" path="m54,38r-22,l35,39r3,3l39,44r,5l38,52r-2,1l35,54r-3,1l57,55r,-1l57,44,56,40,54,38e" stroked="f">
                    <v:path arrowok="t" o:connecttype="custom" o:connectlocs="54,585;32,585;35,586;38,589;39,591;39,596;38,599;36,600;35,601;32,602;57,602;57,601;57,591;56,587;54,585" o:connectangles="0,0,0,0,0,0,0,0,0,0,0,0,0,0,0"/>
                  </v:shape>
                  <v:shape id="Freeform 37" o:spid="_x0000_s1061"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8YMQA&#10;AADbAAAADwAAAGRycy9kb3ducmV2LnhtbESPT2sCMRTE74V+h/AK3mq2KlW2RlFR0GPdQuntuXlu&#10;lm5elk32j9/eFAoeh5n5DbNcD7YSHTW+dKzgbZyAIM6dLrlQ8JUdXhcgfEDWWDkmBTfysF49Py0x&#10;1a7nT+rOoRARwj5FBSaEOpXS54Ys+rGriaN3dY3FEGVTSN1gH+G2kpMkeZcWS44LBmvaGcp/z61V&#10;0O7N9Lg98b7LfmZ1/329ZKf2otToZdh8gAg0hEf4v33UChZz+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GDEAAAA2wAAAA8AAAAAAAAAAAAAAAAAmAIAAGRycy9k&#10;b3ducmV2LnhtbFBLBQYAAAAABAAEAPUAAACJAwAAAAA=&#10;" path="m146,35r-30,l116,47r30,l146,35e" stroked="f">
                    <v:path arrowok="t" o:connecttype="custom" o:connectlocs="146,582;116,582;116,594;146,594;146,582" o:connectangles="0,0,0,0,0"/>
                  </v:shape>
                  <v:shape id="Freeform 38" o:spid="_x0000_s1062"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oEsAA&#10;AADbAAAADwAAAGRycy9kb3ducmV2LnhtbERPy4rCMBTdD/gP4QruxlRHBqlGUXFAl2MHBnfX5toU&#10;m5vSpA//3iwGZnk47/V2sJXoqPGlYwWzaQKCOHe65ELBT/b1vgThA7LGyjEpeJKH7Wb0tsZUu56/&#10;qbuEQsQQ9ikqMCHUqZQ+N2TRT11NHLm7ayyGCJtC6gb7GG4rOU+ST2mx5NhgsKaDofxxaa2C9mg+&#10;TvszH7vsuqj73/stO7c3pSbjYbcCEWgI/+I/90krWMax8U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doEsAAAADbAAAADwAAAAAAAAAAAAAAAACYAgAAZHJzL2Rvd25y&#10;ZXYueG1sUEsFBgAAAAAEAAQA9QAAAIUDAAAAAA==&#10;" path="m54,13r-23,l33,14r3,2l36,18r,4l36,24r-3,2l31,27r21,l53,25r1,-3l54,13e" stroked="f">
                    <v:path arrowok="t" o:connecttype="custom" o:connectlocs="54,560;31,560;33,561;36,563;36,565;36,569;36,571;33,573;31,574;52,574;53,572;54,569;54,560" o:connectangles="0,0,0,0,0,0,0,0,0,0,0,0,0"/>
                  </v:shape>
                  <v:shape id="Freeform 39" o:spid="_x0000_s1063" style="position:absolute;left:877;top:547;width:484;height:68;visibility:visible;mso-wrap-style:square;v-text-anchor:top" coordsize="4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icQA&#10;AADbAAAADwAAAGRycy9kb3ducmV2LnhtbESPT2sCMRTE74V+h/AK3mq2KsVujaKioMe6QuntuXlu&#10;lm5elk32j9/eFAoeh5n5DbNYDbYSHTW+dKzgbZyAIM6dLrlQcM72r3MQPiBrrByTght5WC2fnxaY&#10;atfzF3WnUIgIYZ+iAhNCnUrpc0MW/djVxNG7usZiiLIppG6wj3BbyUmSvEuLJccFgzVtDeW/p9Yq&#10;aHdmetgceddlP7O6/75esmN7UWr0Mqw/QQQawiP83z5oBfMP+Ps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zYnEAAAA2wAAAA8AAAAAAAAAAAAAAAAAmAIAAGRycy9k&#10;b3ducmV2LnhtbFBLBQYAAAAABAAEAPUAAACJAwAAAAA=&#10;" path="m126,2r-19,l91,25r19,l126,2e" stroked="f">
                    <v:path arrowok="t" o:connecttype="custom" o:connectlocs="126,549;107,549;91,572;110,572;126,549" o:connectangles="0,0,0,0,0"/>
                  </v:shape>
                </v:group>
                <w10:wrap anchorx="page"/>
              </v:group>
            </w:pict>
          </mc:Fallback>
        </mc:AlternateContent>
      </w:r>
    </w:p>
    <w:p w:rsidR="009122F5" w:rsidRPr="00C169DB" w:rsidRDefault="009122F5" w:rsidP="009122F5">
      <w:pPr>
        <w:spacing w:before="3" w:after="0" w:line="110" w:lineRule="exact"/>
        <w:rPr>
          <w:rFonts w:ascii="TitilliumText25L" w:hAnsi="TitilliumText25L"/>
          <w:sz w:val="16"/>
          <w:szCs w:val="16"/>
        </w:rPr>
      </w:pPr>
    </w:p>
    <w:p w:rsidR="009122F5" w:rsidRPr="00C169DB" w:rsidRDefault="009122F5" w:rsidP="009122F5">
      <w:pPr>
        <w:spacing w:after="0" w:line="200" w:lineRule="exact"/>
        <w:rPr>
          <w:rFonts w:ascii="TitilliumText25L" w:hAnsi="TitilliumText25L"/>
          <w:sz w:val="16"/>
          <w:szCs w:val="16"/>
        </w:rPr>
      </w:pPr>
    </w:p>
    <w:p w:rsidR="009122F5" w:rsidRPr="00C169DB" w:rsidRDefault="009122F5" w:rsidP="009122F5">
      <w:pPr>
        <w:spacing w:before="42"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7"/>
          <w:sz w:val="16"/>
          <w:szCs w:val="16"/>
        </w:rPr>
        <w:t xml:space="preserve"> </w:t>
      </w:r>
      <w:r w:rsidRPr="00C169DB">
        <w:rPr>
          <w:rFonts w:ascii="TitilliumText25L" w:eastAsia="TitilliumText22L Lt" w:hAnsi="TitilliumText25L" w:cs="TitilliumText22L Lt"/>
          <w:spacing w:val="-3"/>
          <w:sz w:val="16"/>
          <w:szCs w:val="16"/>
        </w:rPr>
        <w:t>Nationa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11"/>
          <w:sz w:val="16"/>
          <w:szCs w:val="16"/>
        </w:rPr>
        <w:t xml:space="preserve"> </w:t>
      </w:r>
      <w:r w:rsidRPr="00C169DB">
        <w:rPr>
          <w:rFonts w:ascii="TitilliumText25L" w:eastAsia="TitilliumText22L Lt" w:hAnsi="TitilliumText25L" w:cs="TitilliumText22L Lt"/>
          <w:spacing w:val="-3"/>
          <w:sz w:val="16"/>
          <w:szCs w:val="16"/>
        </w:rPr>
        <w:t>Bloo</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10"/>
          <w:sz w:val="16"/>
          <w:szCs w:val="16"/>
        </w:rPr>
        <w:t xml:space="preserve"> </w:t>
      </w:r>
      <w:r w:rsidRPr="00C169DB">
        <w:rPr>
          <w:rFonts w:ascii="TitilliumText25L" w:eastAsia="TitilliumText22L Lt" w:hAnsi="TitilliumText25L" w:cs="TitilliumText22L Lt"/>
          <w:spacing w:val="-3"/>
          <w:sz w:val="16"/>
          <w:szCs w:val="16"/>
        </w:rPr>
        <w:t>Authority</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11"/>
          <w:sz w:val="16"/>
          <w:szCs w:val="16"/>
        </w:rPr>
        <w:t xml:space="preserve"> </w:t>
      </w:r>
      <w:r w:rsidRPr="00C169DB">
        <w:rPr>
          <w:rFonts w:ascii="TitilliumText25L" w:eastAsia="TitilliumText22L Lt" w:hAnsi="TitilliumText25L" w:cs="TitilliumText22L Lt"/>
          <w:spacing w:val="-3"/>
          <w:sz w:val="16"/>
          <w:szCs w:val="16"/>
        </w:rPr>
        <w:t>20</w:t>
      </w:r>
      <w:r w:rsidR="00CF5282" w:rsidRPr="00C169DB">
        <w:rPr>
          <w:rFonts w:ascii="TitilliumText25L" w:eastAsia="TitilliumText22L Lt" w:hAnsi="TitilliumText25L" w:cs="TitilliumText22L Lt"/>
          <w:spacing w:val="-3"/>
          <w:sz w:val="16"/>
          <w:szCs w:val="16"/>
        </w:rPr>
        <w:t>14.</w:t>
      </w:r>
    </w:p>
    <w:p w:rsidR="009122F5" w:rsidRPr="00C169DB" w:rsidRDefault="009122F5" w:rsidP="009122F5">
      <w:pPr>
        <w:spacing w:before="8" w:after="0" w:line="130" w:lineRule="exact"/>
        <w:rPr>
          <w:rFonts w:ascii="TitilliumText25L" w:hAnsi="TitilliumText25L"/>
          <w:sz w:val="16"/>
          <w:szCs w:val="16"/>
        </w:rPr>
      </w:pPr>
    </w:p>
    <w:p w:rsidR="009122F5" w:rsidRPr="00C169DB" w:rsidRDefault="009122F5" w:rsidP="009122F5">
      <w:pPr>
        <w:spacing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ISB</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00CF5282" w:rsidRPr="00C169DB">
        <w:rPr>
          <w:rFonts w:ascii="TitilliumText25L" w:eastAsia="TitilliumText22L Lt" w:hAnsi="TitilliumText25L" w:cs="TitilliumText22L Lt"/>
          <w:spacing w:val="-3"/>
          <w:sz w:val="16"/>
          <w:szCs w:val="16"/>
        </w:rPr>
        <w:t>0-9873687-4-5</w:t>
      </w:r>
    </w:p>
    <w:p w:rsidR="009122F5" w:rsidRPr="00C169DB" w:rsidRDefault="009122F5" w:rsidP="009122F5">
      <w:pPr>
        <w:spacing w:before="8" w:after="0" w:line="130" w:lineRule="exact"/>
        <w:rPr>
          <w:rFonts w:ascii="TitilliumText25L" w:hAnsi="TitilliumText25L"/>
          <w:sz w:val="16"/>
          <w:szCs w:val="16"/>
        </w:rPr>
      </w:pPr>
    </w:p>
    <w:p w:rsidR="009122F5" w:rsidRPr="00C169DB" w:rsidRDefault="009122F5" w:rsidP="009122F5">
      <w:pPr>
        <w:spacing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Fo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mor</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information:</w:t>
      </w:r>
    </w:p>
    <w:p w:rsidR="009122F5" w:rsidRPr="00C169DB" w:rsidRDefault="009122F5" w:rsidP="009122F5">
      <w:pPr>
        <w:spacing w:before="8" w:after="0" w:line="130" w:lineRule="exact"/>
        <w:rPr>
          <w:rFonts w:ascii="TitilliumText25L" w:hAnsi="TitilliumText25L"/>
          <w:sz w:val="16"/>
          <w:szCs w:val="16"/>
        </w:rPr>
      </w:pPr>
    </w:p>
    <w:p w:rsidR="009122F5" w:rsidRPr="00C169DB" w:rsidRDefault="00CF5282" w:rsidP="009122F5">
      <w:pPr>
        <w:spacing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Single Unit Transfusion Guide Summary</w:t>
      </w:r>
    </w:p>
    <w:p w:rsidR="009122F5" w:rsidRPr="00C169DB" w:rsidRDefault="009122F5" w:rsidP="009122F5">
      <w:pPr>
        <w:spacing w:before="25"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Nationa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Bloo</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Authority</w:t>
      </w:r>
    </w:p>
    <w:p w:rsidR="009122F5" w:rsidRPr="00C169DB" w:rsidRDefault="009122F5" w:rsidP="009122F5">
      <w:pPr>
        <w:spacing w:before="25"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Locke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Ba</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8430</w:t>
      </w:r>
    </w:p>
    <w:p w:rsidR="009122F5" w:rsidRPr="00C169DB" w:rsidRDefault="009122F5" w:rsidP="009122F5">
      <w:pPr>
        <w:spacing w:before="25" w:after="0"/>
        <w:ind w:left="127" w:right="-20"/>
        <w:rPr>
          <w:rFonts w:ascii="TitilliumText25L" w:eastAsia="TitilliumText22L Lt" w:hAnsi="TitilliumText25L" w:cs="TitilliumText22L Lt"/>
          <w:spacing w:val="-3"/>
          <w:sz w:val="16"/>
          <w:szCs w:val="16"/>
        </w:rPr>
      </w:pPr>
      <w:r w:rsidRPr="00C169DB">
        <w:rPr>
          <w:rFonts w:ascii="TitilliumText25L" w:eastAsia="TitilliumText22L Lt" w:hAnsi="TitilliumText25L" w:cs="TitilliumText22L Lt"/>
          <w:spacing w:val="-3"/>
          <w:sz w:val="16"/>
          <w:szCs w:val="16"/>
        </w:rPr>
        <w:t>Canberr</w:t>
      </w:r>
      <w:r w:rsidRPr="00C169DB">
        <w:rPr>
          <w:rFonts w:ascii="TitilliumText25L" w:eastAsia="TitilliumText22L Lt" w:hAnsi="TitilliumText25L" w:cs="TitilliumText22L Lt"/>
          <w:sz w:val="16"/>
          <w:szCs w:val="16"/>
        </w:rPr>
        <w:t>a</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AC</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2601</w:t>
      </w:r>
    </w:p>
    <w:p w:rsidR="002545C7" w:rsidRPr="00C169DB" w:rsidRDefault="002545C7" w:rsidP="009122F5">
      <w:pPr>
        <w:spacing w:before="25"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Phone: 13000BLOOD (13 000 25663)</w:t>
      </w:r>
    </w:p>
    <w:p w:rsidR="009122F5" w:rsidRPr="00C169DB" w:rsidRDefault="009122F5" w:rsidP="009122F5">
      <w:pPr>
        <w:spacing w:before="25"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Email</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hyperlink r:id="rId12" w:history="1">
        <w:r w:rsidR="002545C7" w:rsidRPr="00C169DB">
          <w:rPr>
            <w:rStyle w:val="Hyperlink"/>
            <w:rFonts w:ascii="TitilliumText25L" w:eastAsia="TitilliumText22L Lt" w:hAnsi="TitilliumText25L" w:cs="TitilliumText22L Lt"/>
            <w:spacing w:val="-3"/>
            <w:sz w:val="16"/>
            <w:szCs w:val="16"/>
          </w:rPr>
          <w:t>patientbloodmanagement@.blood.gov.au</w:t>
        </w:r>
      </w:hyperlink>
    </w:p>
    <w:p w:rsidR="009122F5" w:rsidRPr="00C169DB" w:rsidRDefault="009122F5" w:rsidP="009122F5">
      <w:pPr>
        <w:spacing w:before="25"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Website</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hyperlink r:id="rId13" w:history="1">
        <w:r w:rsidR="007D3B16" w:rsidRPr="00C169DB">
          <w:rPr>
            <w:rStyle w:val="Hyperlink"/>
            <w:rFonts w:ascii="TitilliumText25L" w:eastAsia="TitilliumText22L Lt" w:hAnsi="TitilliumText25L" w:cs="TitilliumText22L Lt"/>
            <w:spacing w:val="-3"/>
            <w:sz w:val="16"/>
            <w:szCs w:val="16"/>
            <w:u w:color="000000"/>
          </w:rPr>
          <w:t>www.blood.gov.au</w:t>
        </w:r>
      </w:hyperlink>
    </w:p>
    <w:p w:rsidR="009122F5" w:rsidRPr="00C169DB" w:rsidRDefault="009122F5" w:rsidP="009122F5">
      <w:pPr>
        <w:spacing w:before="8" w:after="0" w:line="130" w:lineRule="exact"/>
        <w:rPr>
          <w:rFonts w:ascii="TitilliumText25L" w:hAnsi="TitilliumText25L"/>
          <w:sz w:val="16"/>
          <w:szCs w:val="16"/>
        </w:rPr>
      </w:pPr>
    </w:p>
    <w:p w:rsidR="009122F5" w:rsidRPr="00C169DB" w:rsidRDefault="009122F5" w:rsidP="009122F5">
      <w:pPr>
        <w:spacing w:after="0"/>
        <w:ind w:left="127" w:right="-20"/>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Disclaimer</w:t>
      </w:r>
    </w:p>
    <w:p w:rsidR="009122F5" w:rsidRPr="00C169DB" w:rsidRDefault="009122F5" w:rsidP="009122F5">
      <w:pPr>
        <w:spacing w:before="8" w:after="0" w:line="130" w:lineRule="exact"/>
        <w:rPr>
          <w:rFonts w:ascii="TitilliumText25L" w:hAnsi="TitilliumText25L"/>
          <w:sz w:val="16"/>
          <w:szCs w:val="16"/>
        </w:rPr>
      </w:pPr>
    </w:p>
    <w:p w:rsidR="009122F5" w:rsidRPr="00C169DB" w:rsidRDefault="009122F5" w:rsidP="00CF5282">
      <w:pPr>
        <w:spacing w:after="0" w:line="278" w:lineRule="auto"/>
        <w:ind w:left="127" w:right="61"/>
        <w:rPr>
          <w:rFonts w:ascii="TitilliumText25L" w:eastAsia="TitilliumText22L Lt" w:hAnsi="TitilliumText25L" w:cs="TitilliumText22L Lt"/>
          <w:sz w:val="16"/>
          <w:szCs w:val="16"/>
        </w:rPr>
      </w:pP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documen</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z w:val="16"/>
          <w:szCs w:val="16"/>
        </w:rPr>
        <w:t>a</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genera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guid</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appropriat</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practice</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followe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subjec</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circumstances, clinician’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judgemen</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patient’</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preference</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eac</w:t>
      </w:r>
      <w:r w:rsidRPr="00C169DB">
        <w:rPr>
          <w:rFonts w:ascii="TitilliumText25L" w:eastAsia="TitilliumText22L Lt" w:hAnsi="TitilliumText25L" w:cs="TitilliumText22L Lt"/>
          <w:sz w:val="16"/>
          <w:szCs w:val="16"/>
        </w:rPr>
        <w:t>h</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individua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case</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designe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provide informatio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assis</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decisio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making</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Recommendation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containe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herei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ar</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base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the</w:t>
      </w:r>
      <w:r w:rsidR="00CF5282" w:rsidRPr="00C169DB">
        <w:rPr>
          <w:rFonts w:ascii="TitilliumText25L" w:eastAsia="TitilliumText22L Lt" w:hAnsi="TitilliumText25L" w:cs="TitilliumText22L Lt"/>
          <w:spacing w:val="-3"/>
          <w:sz w:val="16"/>
          <w:szCs w:val="16"/>
        </w:rPr>
        <w:t xml:space="preserve"> </w:t>
      </w:r>
      <w:r w:rsidRPr="00C169DB">
        <w:rPr>
          <w:rFonts w:ascii="TitilliumText25L" w:eastAsia="TitilliumText22L Lt" w:hAnsi="TitilliumText25L" w:cs="TitilliumText22L Lt"/>
          <w:spacing w:val="-3"/>
          <w:sz w:val="16"/>
          <w:szCs w:val="16"/>
        </w:rPr>
        <w:t>bes</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availabl</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evidenc</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publishe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00CF5282" w:rsidRPr="00C169DB">
        <w:rPr>
          <w:rFonts w:ascii="TitilliumText25L" w:eastAsia="TitilliumText22L Lt" w:hAnsi="TitilliumText25L" w:cs="TitilliumText22L Lt"/>
          <w:spacing w:val="-6"/>
          <w:sz w:val="16"/>
          <w:szCs w:val="16"/>
        </w:rPr>
        <w:t xml:space="preserve">between 1966 and </w:t>
      </w:r>
      <w:r w:rsidRPr="00C169DB">
        <w:rPr>
          <w:rFonts w:ascii="TitilliumText25L" w:eastAsia="TitilliumText22L Lt" w:hAnsi="TitilliumText25L" w:cs="TitilliumText22L Lt"/>
          <w:spacing w:val="-3"/>
          <w:sz w:val="16"/>
          <w:szCs w:val="16"/>
        </w:rPr>
        <w:t>u</w:t>
      </w:r>
      <w:r w:rsidRPr="00C169DB">
        <w:rPr>
          <w:rFonts w:ascii="TitilliumText25L" w:eastAsia="TitilliumText22L Lt" w:hAnsi="TitilliumText25L" w:cs="TitilliumText22L Lt"/>
          <w:sz w:val="16"/>
          <w:szCs w:val="16"/>
        </w:rPr>
        <w:t>p</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Jul</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201</w:t>
      </w:r>
      <w:r w:rsidRPr="00C169DB">
        <w:rPr>
          <w:rFonts w:ascii="TitilliumText25L" w:eastAsia="TitilliumText22L Lt" w:hAnsi="TitilliumText25L" w:cs="TitilliumText22L Lt"/>
          <w:sz w:val="16"/>
          <w:szCs w:val="16"/>
        </w:rPr>
        <w:t>0.</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relevanc</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appropriatenes</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f</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informatio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and recommendation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documen</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depen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individua</w:t>
      </w:r>
      <w:r w:rsidRPr="00C169DB">
        <w:rPr>
          <w:rFonts w:ascii="TitilliumText25L" w:eastAsia="TitilliumText22L Lt" w:hAnsi="TitilliumText25L" w:cs="TitilliumText22L Lt"/>
          <w:sz w:val="16"/>
          <w:szCs w:val="16"/>
        </w:rPr>
        <w:t>l</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circumstances</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Moreover</w:t>
      </w:r>
      <w:r w:rsidRPr="00C169DB">
        <w:rPr>
          <w:rFonts w:ascii="TitilliumText25L" w:eastAsia="TitilliumText22L Lt" w:hAnsi="TitilliumText25L" w:cs="TitilliumText22L Lt"/>
          <w:sz w:val="16"/>
          <w:szCs w:val="16"/>
        </w:rPr>
        <w: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the recommendation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guideline</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ar</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subjec</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w:t>
      </w:r>
      <w:r w:rsidRPr="00C169DB">
        <w:rPr>
          <w:rFonts w:ascii="TitilliumText25L" w:eastAsia="TitilliumText22L Lt" w:hAnsi="TitilliumText25L" w:cs="TitilliumText22L Lt"/>
          <w:sz w:val="16"/>
          <w:szCs w:val="16"/>
        </w:rPr>
        <w:t>o</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chang</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ove</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time.</w:t>
      </w:r>
    </w:p>
    <w:p w:rsidR="009122F5" w:rsidRPr="00C169DB" w:rsidRDefault="009122F5" w:rsidP="009122F5">
      <w:pPr>
        <w:spacing w:before="3" w:after="0" w:line="110" w:lineRule="exact"/>
        <w:rPr>
          <w:rFonts w:ascii="TitilliumText25L" w:hAnsi="TitilliumText25L"/>
          <w:sz w:val="16"/>
          <w:szCs w:val="16"/>
        </w:rPr>
      </w:pPr>
    </w:p>
    <w:p w:rsidR="009122F5" w:rsidRPr="00C169DB" w:rsidRDefault="009122F5" w:rsidP="00345CF8">
      <w:pPr>
        <w:spacing w:after="0" w:line="278" w:lineRule="auto"/>
        <w:ind w:left="127" w:right="522"/>
        <w:rPr>
          <w:rFonts w:ascii="TitilliumText25L" w:hAnsi="TitilliumText25L"/>
          <w:sz w:val="16"/>
          <w:szCs w:val="16"/>
        </w:rPr>
      </w:pPr>
      <w:r w:rsidRPr="00C169DB">
        <w:rPr>
          <w:rFonts w:ascii="TitilliumText25L" w:eastAsia="TitilliumText22L Lt" w:hAnsi="TitilliumText25L" w:cs="TitilliumText22L Lt"/>
          <w:spacing w:val="-3"/>
          <w:sz w:val="16"/>
          <w:szCs w:val="16"/>
        </w:rPr>
        <w:t>Eac</w:t>
      </w:r>
      <w:r w:rsidRPr="00C169DB">
        <w:rPr>
          <w:rFonts w:ascii="TitilliumText25L" w:eastAsia="TitilliumText22L Lt" w:hAnsi="TitilliumText25L" w:cs="TitilliumText22L Lt"/>
          <w:sz w:val="16"/>
          <w:szCs w:val="16"/>
        </w:rPr>
        <w:t>h</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f</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partie</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involve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developin</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thi</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documen</w:t>
      </w:r>
      <w:r w:rsidRPr="00C169DB">
        <w:rPr>
          <w:rFonts w:ascii="TitilliumText25L" w:eastAsia="TitilliumText22L Lt" w:hAnsi="TitilliumText25L" w:cs="TitilliumText22L Lt"/>
          <w:sz w:val="16"/>
          <w:szCs w:val="16"/>
        </w:rPr>
        <w:t>t</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expressl</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disclaim</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accept</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no responsibilit</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fo</w:t>
      </w:r>
      <w:r w:rsidRPr="00C169DB">
        <w:rPr>
          <w:rFonts w:ascii="TitilliumText25L" w:eastAsia="TitilliumText22L Lt" w:hAnsi="TitilliumText25L" w:cs="TitilliumText22L Lt"/>
          <w:sz w:val="16"/>
          <w:szCs w:val="16"/>
        </w:rPr>
        <w:t>r</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an</w:t>
      </w:r>
      <w:r w:rsidRPr="00C169DB">
        <w:rPr>
          <w:rFonts w:ascii="TitilliumText25L" w:eastAsia="TitilliumText22L Lt" w:hAnsi="TitilliumText25L" w:cs="TitilliumText22L Lt"/>
          <w:sz w:val="16"/>
          <w:szCs w:val="16"/>
        </w:rPr>
        <w:t>y</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undesirabl</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consequence</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arisin</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fro</w:t>
      </w:r>
      <w:r w:rsidRPr="00C169DB">
        <w:rPr>
          <w:rFonts w:ascii="TitilliumText25L" w:eastAsia="TitilliumText22L Lt" w:hAnsi="TitilliumText25L" w:cs="TitilliumText22L Lt"/>
          <w:sz w:val="16"/>
          <w:szCs w:val="16"/>
        </w:rPr>
        <w:t>m</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relyin</w:t>
      </w:r>
      <w:r w:rsidRPr="00C169DB">
        <w:rPr>
          <w:rFonts w:ascii="TitilliumText25L" w:eastAsia="TitilliumText22L Lt" w:hAnsi="TitilliumText25L" w:cs="TitilliumText22L Lt"/>
          <w:sz w:val="16"/>
          <w:szCs w:val="16"/>
        </w:rPr>
        <w:t>g</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th</w:t>
      </w:r>
      <w:r w:rsidRPr="00C169DB">
        <w:rPr>
          <w:rFonts w:ascii="TitilliumText25L" w:eastAsia="TitilliumText22L Lt" w:hAnsi="TitilliumText25L" w:cs="TitilliumText22L Lt"/>
          <w:sz w:val="16"/>
          <w:szCs w:val="16"/>
        </w:rPr>
        <w:t>e</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informatio</w:t>
      </w:r>
      <w:r w:rsidRPr="00C169DB">
        <w:rPr>
          <w:rFonts w:ascii="TitilliumText25L" w:eastAsia="TitilliumText22L Lt" w:hAnsi="TitilliumText25L" w:cs="TitilliumText22L Lt"/>
          <w:sz w:val="16"/>
          <w:szCs w:val="16"/>
        </w:rPr>
        <w:t>n</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or recommendation</w:t>
      </w:r>
      <w:r w:rsidRPr="00C169DB">
        <w:rPr>
          <w:rFonts w:ascii="TitilliumText25L" w:eastAsia="TitilliumText22L Lt" w:hAnsi="TitilliumText25L" w:cs="TitilliumText22L Lt"/>
          <w:sz w:val="16"/>
          <w:szCs w:val="16"/>
        </w:rPr>
        <w:t>s</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containe</w:t>
      </w:r>
      <w:r w:rsidRPr="00C169DB">
        <w:rPr>
          <w:rFonts w:ascii="TitilliumText25L" w:eastAsia="TitilliumText22L Lt" w:hAnsi="TitilliumText25L" w:cs="TitilliumText22L Lt"/>
          <w:sz w:val="16"/>
          <w:szCs w:val="16"/>
        </w:rPr>
        <w:t>d</w:t>
      </w:r>
      <w:r w:rsidRPr="00C169DB">
        <w:rPr>
          <w:rFonts w:ascii="TitilliumText25L" w:eastAsia="TitilliumText22L Lt" w:hAnsi="TitilliumText25L" w:cs="TitilliumText22L Lt"/>
          <w:spacing w:val="-6"/>
          <w:sz w:val="16"/>
          <w:szCs w:val="16"/>
        </w:rPr>
        <w:t xml:space="preserve"> </w:t>
      </w:r>
      <w:r w:rsidRPr="00C169DB">
        <w:rPr>
          <w:rFonts w:ascii="TitilliumText25L" w:eastAsia="TitilliumText22L Lt" w:hAnsi="TitilliumText25L" w:cs="TitilliumText22L Lt"/>
          <w:spacing w:val="-3"/>
          <w:sz w:val="16"/>
          <w:szCs w:val="16"/>
        </w:rPr>
        <w:t>herein.</w:t>
      </w:r>
    </w:p>
    <w:p w:rsidR="009417D0" w:rsidRPr="00C169DB" w:rsidRDefault="009417D0">
      <w:pPr>
        <w:rPr>
          <w:rFonts w:ascii="TitilliumText25L" w:hAnsi="TitilliumText25L"/>
        </w:rPr>
      </w:pPr>
      <w:r w:rsidRPr="00C169DB">
        <w:rPr>
          <w:rFonts w:ascii="TitilliumText25L" w:hAnsi="TitilliumText25L"/>
        </w:rPr>
        <w:br w:type="page"/>
      </w:r>
    </w:p>
    <w:sdt>
      <w:sdtPr>
        <w:rPr>
          <w:rFonts w:ascii="TitilliumText25L" w:eastAsia="Dotum" w:hAnsi="TitilliumText25L" w:cs="Calibri"/>
          <w:b w:val="0"/>
          <w:bCs w:val="0"/>
          <w:color w:val="auto"/>
          <w:sz w:val="22"/>
          <w:szCs w:val="22"/>
          <w:lang w:val="en-AU" w:eastAsia="en-US"/>
        </w:rPr>
        <w:id w:val="-1771847487"/>
        <w:docPartObj>
          <w:docPartGallery w:val="Table of Contents"/>
          <w:docPartUnique/>
        </w:docPartObj>
      </w:sdtPr>
      <w:sdtEndPr>
        <w:rPr>
          <w:noProof/>
        </w:rPr>
      </w:sdtEndPr>
      <w:sdtContent>
        <w:p w:rsidR="009A6D55" w:rsidRPr="00C169DB" w:rsidRDefault="009A6D55" w:rsidP="0041728C">
          <w:pPr>
            <w:pStyle w:val="TOCHeading"/>
            <w:spacing w:after="480"/>
            <w:rPr>
              <w:rFonts w:ascii="TitilliumText25L" w:eastAsia="Dotum" w:hAnsi="TitilliumText25L" w:cs="Calibri"/>
              <w:b w:val="0"/>
              <w:bCs w:val="0"/>
              <w:color w:val="auto"/>
              <w:sz w:val="22"/>
              <w:szCs w:val="22"/>
              <w:lang w:val="en-AU" w:eastAsia="en-US"/>
            </w:rPr>
          </w:pPr>
        </w:p>
        <w:p w:rsidR="00095F87" w:rsidRPr="00A063F4" w:rsidRDefault="00095F87" w:rsidP="00A063F4">
          <w:pPr>
            <w:rPr>
              <w:rStyle w:val="Heading2Char"/>
              <w:rFonts w:ascii="TitilliumText25L" w:hAnsi="TitilliumText25L"/>
              <w:b/>
              <w:color w:val="C60C30"/>
            </w:rPr>
          </w:pPr>
          <w:bookmarkStart w:id="0" w:name="_Toc390340795"/>
          <w:bookmarkStart w:id="1" w:name="_Toc390423650"/>
          <w:r w:rsidRPr="00A063F4">
            <w:rPr>
              <w:rStyle w:val="Heading2Char"/>
              <w:rFonts w:ascii="TitilliumText25L" w:hAnsi="TitilliumText25L"/>
              <w:b/>
              <w:color w:val="C60C30"/>
            </w:rPr>
            <w:t>Table of Contents</w:t>
          </w:r>
          <w:bookmarkEnd w:id="0"/>
          <w:bookmarkEnd w:id="1"/>
        </w:p>
        <w:p w:rsidR="004A109C" w:rsidRDefault="00095F87">
          <w:pPr>
            <w:pStyle w:val="TOC2"/>
            <w:rPr>
              <w:noProof/>
              <w:lang w:val="en-AU" w:eastAsia="en-AU"/>
            </w:rPr>
          </w:pPr>
          <w:r w:rsidRPr="00C169DB">
            <w:rPr>
              <w:rFonts w:ascii="TitilliumText25L" w:hAnsi="TitilliumText25L"/>
            </w:rPr>
            <w:fldChar w:fldCharType="begin"/>
          </w:r>
          <w:r w:rsidRPr="00C169DB">
            <w:rPr>
              <w:rFonts w:ascii="TitilliumText25L" w:hAnsi="TitilliumText25L"/>
            </w:rPr>
            <w:instrText xml:space="preserve"> TOC \o "1-3" \h \z \u </w:instrText>
          </w:r>
          <w:r w:rsidRPr="00C169DB">
            <w:rPr>
              <w:rFonts w:ascii="TitilliumText25L" w:hAnsi="TitilliumText25L"/>
            </w:rPr>
            <w:fldChar w:fldCharType="separate"/>
          </w:r>
          <w:hyperlink w:anchor="_Toc390423652" w:history="1">
            <w:r w:rsidR="004A109C" w:rsidRPr="00D92ACA">
              <w:rPr>
                <w:rStyle w:val="Hyperlink"/>
                <w:rFonts w:ascii="TitilliumText25L" w:hAnsi="TitilliumText25L"/>
                <w:noProof/>
              </w:rPr>
              <w:t>Why have a single unit transfusion guide?</w:t>
            </w:r>
            <w:r w:rsidR="004A109C">
              <w:rPr>
                <w:noProof/>
                <w:webHidden/>
              </w:rPr>
              <w:tab/>
            </w:r>
            <w:r w:rsidR="004A109C">
              <w:rPr>
                <w:noProof/>
                <w:webHidden/>
              </w:rPr>
              <w:fldChar w:fldCharType="begin"/>
            </w:r>
            <w:r w:rsidR="004A109C">
              <w:rPr>
                <w:noProof/>
                <w:webHidden/>
              </w:rPr>
              <w:instrText xml:space="preserve"> PAGEREF _Toc390423652 \h </w:instrText>
            </w:r>
            <w:r w:rsidR="004A109C">
              <w:rPr>
                <w:noProof/>
                <w:webHidden/>
              </w:rPr>
            </w:r>
            <w:r w:rsidR="004A109C">
              <w:rPr>
                <w:noProof/>
                <w:webHidden/>
              </w:rPr>
              <w:fldChar w:fldCharType="separate"/>
            </w:r>
            <w:r w:rsidR="0093461B">
              <w:rPr>
                <w:noProof/>
                <w:webHidden/>
              </w:rPr>
              <w:t>4</w:t>
            </w:r>
            <w:r w:rsidR="004A109C">
              <w:rPr>
                <w:noProof/>
                <w:webHidden/>
              </w:rPr>
              <w:fldChar w:fldCharType="end"/>
            </w:r>
          </w:hyperlink>
        </w:p>
        <w:p w:rsidR="004A109C" w:rsidRDefault="009B2FE6">
          <w:pPr>
            <w:pStyle w:val="TOC2"/>
            <w:rPr>
              <w:noProof/>
              <w:lang w:val="en-AU" w:eastAsia="en-AU"/>
            </w:rPr>
          </w:pPr>
          <w:hyperlink w:anchor="_Toc390423653" w:history="1">
            <w:r w:rsidR="004A109C" w:rsidRPr="00D92ACA">
              <w:rPr>
                <w:rStyle w:val="Hyperlink"/>
                <w:rFonts w:ascii="TitilliumText25L" w:hAnsi="TitilliumText25L"/>
                <w:noProof/>
              </w:rPr>
              <w:t>Which health care professionals should use this guide?</w:t>
            </w:r>
            <w:r w:rsidR="004A109C">
              <w:rPr>
                <w:noProof/>
                <w:webHidden/>
              </w:rPr>
              <w:tab/>
            </w:r>
            <w:r w:rsidR="004A109C">
              <w:rPr>
                <w:noProof/>
                <w:webHidden/>
              </w:rPr>
              <w:fldChar w:fldCharType="begin"/>
            </w:r>
            <w:r w:rsidR="004A109C">
              <w:rPr>
                <w:noProof/>
                <w:webHidden/>
              </w:rPr>
              <w:instrText xml:space="preserve"> PAGEREF _Toc390423653 \h </w:instrText>
            </w:r>
            <w:r w:rsidR="004A109C">
              <w:rPr>
                <w:noProof/>
                <w:webHidden/>
              </w:rPr>
            </w:r>
            <w:r w:rsidR="004A109C">
              <w:rPr>
                <w:noProof/>
                <w:webHidden/>
              </w:rPr>
              <w:fldChar w:fldCharType="separate"/>
            </w:r>
            <w:r w:rsidR="0093461B">
              <w:rPr>
                <w:noProof/>
                <w:webHidden/>
              </w:rPr>
              <w:t>4</w:t>
            </w:r>
            <w:r w:rsidR="004A109C">
              <w:rPr>
                <w:noProof/>
                <w:webHidden/>
              </w:rPr>
              <w:fldChar w:fldCharType="end"/>
            </w:r>
          </w:hyperlink>
        </w:p>
        <w:p w:rsidR="004A109C" w:rsidRDefault="009B2FE6">
          <w:pPr>
            <w:pStyle w:val="TOC2"/>
            <w:rPr>
              <w:noProof/>
              <w:lang w:val="en-AU" w:eastAsia="en-AU"/>
            </w:rPr>
          </w:pPr>
          <w:hyperlink w:anchor="_Toc390423654" w:history="1">
            <w:r w:rsidR="004A109C" w:rsidRPr="00D92ACA">
              <w:rPr>
                <w:rStyle w:val="Hyperlink"/>
                <w:rFonts w:ascii="TitilliumText25L" w:hAnsi="TitilliumText25L"/>
                <w:noProof/>
              </w:rPr>
              <w:t>Key Principles:</w:t>
            </w:r>
            <w:r w:rsidR="004A109C">
              <w:rPr>
                <w:noProof/>
                <w:webHidden/>
              </w:rPr>
              <w:tab/>
            </w:r>
            <w:r w:rsidR="004A109C">
              <w:rPr>
                <w:noProof/>
                <w:webHidden/>
              </w:rPr>
              <w:fldChar w:fldCharType="begin"/>
            </w:r>
            <w:r w:rsidR="004A109C">
              <w:rPr>
                <w:noProof/>
                <w:webHidden/>
              </w:rPr>
              <w:instrText xml:space="preserve"> PAGEREF _Toc390423654 \h </w:instrText>
            </w:r>
            <w:r w:rsidR="004A109C">
              <w:rPr>
                <w:noProof/>
                <w:webHidden/>
              </w:rPr>
            </w:r>
            <w:r w:rsidR="004A109C">
              <w:rPr>
                <w:noProof/>
                <w:webHidden/>
              </w:rPr>
              <w:fldChar w:fldCharType="separate"/>
            </w:r>
            <w:r w:rsidR="0093461B">
              <w:rPr>
                <w:noProof/>
                <w:webHidden/>
              </w:rPr>
              <w:t>5</w:t>
            </w:r>
            <w:r w:rsidR="004A109C">
              <w:rPr>
                <w:noProof/>
                <w:webHidden/>
              </w:rPr>
              <w:fldChar w:fldCharType="end"/>
            </w:r>
          </w:hyperlink>
        </w:p>
        <w:p w:rsidR="004A109C" w:rsidRDefault="009B2FE6">
          <w:pPr>
            <w:pStyle w:val="TOC2"/>
            <w:rPr>
              <w:noProof/>
              <w:lang w:val="en-AU" w:eastAsia="en-AU"/>
            </w:rPr>
          </w:pPr>
          <w:hyperlink w:anchor="_Toc390423655" w:history="1">
            <w:r w:rsidR="004A109C" w:rsidRPr="00D92ACA">
              <w:rPr>
                <w:rStyle w:val="Hyperlink"/>
                <w:rFonts w:ascii="TitilliumText25L" w:hAnsi="TitilliumText25L"/>
                <w:noProof/>
              </w:rPr>
              <w:t>What are the indications for transfusion in patients who are not actively bleeding?</w:t>
            </w:r>
            <w:r w:rsidR="004A109C">
              <w:rPr>
                <w:noProof/>
                <w:webHidden/>
              </w:rPr>
              <w:tab/>
            </w:r>
            <w:r w:rsidR="004A109C">
              <w:rPr>
                <w:noProof/>
                <w:webHidden/>
              </w:rPr>
              <w:fldChar w:fldCharType="begin"/>
            </w:r>
            <w:r w:rsidR="004A109C">
              <w:rPr>
                <w:noProof/>
                <w:webHidden/>
              </w:rPr>
              <w:instrText xml:space="preserve"> PAGEREF _Toc390423655 \h </w:instrText>
            </w:r>
            <w:r w:rsidR="004A109C">
              <w:rPr>
                <w:noProof/>
                <w:webHidden/>
              </w:rPr>
            </w:r>
            <w:r w:rsidR="004A109C">
              <w:rPr>
                <w:noProof/>
                <w:webHidden/>
              </w:rPr>
              <w:fldChar w:fldCharType="separate"/>
            </w:r>
            <w:r w:rsidR="0093461B">
              <w:rPr>
                <w:noProof/>
                <w:webHidden/>
              </w:rPr>
              <w:t>6</w:t>
            </w:r>
            <w:r w:rsidR="004A109C">
              <w:rPr>
                <w:noProof/>
                <w:webHidden/>
              </w:rPr>
              <w:fldChar w:fldCharType="end"/>
            </w:r>
          </w:hyperlink>
        </w:p>
        <w:p w:rsidR="004A109C" w:rsidRDefault="009B2FE6">
          <w:pPr>
            <w:pStyle w:val="TOC2"/>
            <w:rPr>
              <w:noProof/>
              <w:lang w:val="en-AU" w:eastAsia="en-AU"/>
            </w:rPr>
          </w:pPr>
          <w:hyperlink w:anchor="_Toc390423656" w:history="1">
            <w:r w:rsidR="004A109C" w:rsidRPr="00D92ACA">
              <w:rPr>
                <w:rStyle w:val="Hyperlink"/>
                <w:rFonts w:ascii="TitilliumText25L" w:hAnsi="TitilliumText25L"/>
                <w:noProof/>
              </w:rPr>
              <w:t>Red blood cell transfusion in chronically transfused patients.</w:t>
            </w:r>
            <w:r w:rsidR="004A109C">
              <w:rPr>
                <w:noProof/>
                <w:webHidden/>
              </w:rPr>
              <w:tab/>
            </w:r>
            <w:r w:rsidR="004A109C">
              <w:rPr>
                <w:noProof/>
                <w:webHidden/>
              </w:rPr>
              <w:fldChar w:fldCharType="begin"/>
            </w:r>
            <w:r w:rsidR="004A109C">
              <w:rPr>
                <w:noProof/>
                <w:webHidden/>
              </w:rPr>
              <w:instrText xml:space="preserve"> PAGEREF _Toc390423656 \h </w:instrText>
            </w:r>
            <w:r w:rsidR="004A109C">
              <w:rPr>
                <w:noProof/>
                <w:webHidden/>
              </w:rPr>
            </w:r>
            <w:r w:rsidR="004A109C">
              <w:rPr>
                <w:noProof/>
                <w:webHidden/>
              </w:rPr>
              <w:fldChar w:fldCharType="separate"/>
            </w:r>
            <w:r w:rsidR="0093461B">
              <w:rPr>
                <w:noProof/>
                <w:webHidden/>
              </w:rPr>
              <w:t>7</w:t>
            </w:r>
            <w:r w:rsidR="004A109C">
              <w:rPr>
                <w:noProof/>
                <w:webHidden/>
              </w:rPr>
              <w:fldChar w:fldCharType="end"/>
            </w:r>
          </w:hyperlink>
        </w:p>
        <w:p w:rsidR="004A109C" w:rsidRDefault="009B2FE6">
          <w:pPr>
            <w:pStyle w:val="TOC2"/>
            <w:rPr>
              <w:noProof/>
              <w:lang w:val="en-AU" w:eastAsia="en-AU"/>
            </w:rPr>
          </w:pPr>
          <w:hyperlink w:anchor="_Toc390423657" w:history="1">
            <w:r w:rsidR="004A109C" w:rsidRPr="00D92ACA">
              <w:rPr>
                <w:rStyle w:val="Hyperlink"/>
                <w:rFonts w:ascii="TitilliumText25L" w:hAnsi="TitilliumText25L"/>
                <w:noProof/>
              </w:rPr>
              <w:t>Iron Deficiency Anaemia.</w:t>
            </w:r>
            <w:r w:rsidR="004A109C">
              <w:rPr>
                <w:noProof/>
                <w:webHidden/>
              </w:rPr>
              <w:tab/>
            </w:r>
            <w:r w:rsidR="004A109C">
              <w:rPr>
                <w:noProof/>
                <w:webHidden/>
              </w:rPr>
              <w:fldChar w:fldCharType="begin"/>
            </w:r>
            <w:r w:rsidR="004A109C">
              <w:rPr>
                <w:noProof/>
                <w:webHidden/>
              </w:rPr>
              <w:instrText xml:space="preserve"> PAGEREF _Toc390423657 \h </w:instrText>
            </w:r>
            <w:r w:rsidR="004A109C">
              <w:rPr>
                <w:noProof/>
                <w:webHidden/>
              </w:rPr>
            </w:r>
            <w:r w:rsidR="004A109C">
              <w:rPr>
                <w:noProof/>
                <w:webHidden/>
              </w:rPr>
              <w:fldChar w:fldCharType="separate"/>
            </w:r>
            <w:r w:rsidR="0093461B">
              <w:rPr>
                <w:noProof/>
                <w:webHidden/>
              </w:rPr>
              <w:t>7</w:t>
            </w:r>
            <w:r w:rsidR="004A109C">
              <w:rPr>
                <w:noProof/>
                <w:webHidden/>
              </w:rPr>
              <w:fldChar w:fldCharType="end"/>
            </w:r>
          </w:hyperlink>
        </w:p>
        <w:p w:rsidR="004A109C" w:rsidRDefault="009B2FE6">
          <w:pPr>
            <w:pStyle w:val="TOC2"/>
            <w:rPr>
              <w:noProof/>
              <w:lang w:val="en-AU" w:eastAsia="en-AU"/>
            </w:rPr>
          </w:pPr>
          <w:hyperlink w:anchor="_Toc390423658" w:history="1">
            <w:r w:rsidR="004A109C" w:rsidRPr="00D92ACA">
              <w:rPr>
                <w:rStyle w:val="Hyperlink"/>
                <w:rFonts w:ascii="TitilliumText25L" w:hAnsi="TitilliumText25L"/>
                <w:noProof/>
              </w:rPr>
              <w:t>Why does transfusion practice need to change?</w:t>
            </w:r>
            <w:r w:rsidR="004A109C">
              <w:rPr>
                <w:noProof/>
                <w:webHidden/>
              </w:rPr>
              <w:tab/>
            </w:r>
            <w:r w:rsidR="004A109C">
              <w:rPr>
                <w:noProof/>
                <w:webHidden/>
              </w:rPr>
              <w:fldChar w:fldCharType="begin"/>
            </w:r>
            <w:r w:rsidR="004A109C">
              <w:rPr>
                <w:noProof/>
                <w:webHidden/>
              </w:rPr>
              <w:instrText xml:space="preserve"> PAGEREF _Toc390423658 \h </w:instrText>
            </w:r>
            <w:r w:rsidR="004A109C">
              <w:rPr>
                <w:noProof/>
                <w:webHidden/>
              </w:rPr>
            </w:r>
            <w:r w:rsidR="004A109C">
              <w:rPr>
                <w:noProof/>
                <w:webHidden/>
              </w:rPr>
              <w:fldChar w:fldCharType="separate"/>
            </w:r>
            <w:r w:rsidR="0093461B">
              <w:rPr>
                <w:noProof/>
                <w:webHidden/>
              </w:rPr>
              <w:t>8</w:t>
            </w:r>
            <w:r w:rsidR="004A109C">
              <w:rPr>
                <w:noProof/>
                <w:webHidden/>
              </w:rPr>
              <w:fldChar w:fldCharType="end"/>
            </w:r>
          </w:hyperlink>
        </w:p>
        <w:p w:rsidR="004A109C" w:rsidRDefault="009B2FE6">
          <w:pPr>
            <w:pStyle w:val="TOC2"/>
            <w:rPr>
              <w:noProof/>
              <w:lang w:val="en-AU" w:eastAsia="en-AU"/>
            </w:rPr>
          </w:pPr>
          <w:hyperlink w:anchor="_Toc390423659" w:history="1">
            <w:r w:rsidR="004A109C" w:rsidRPr="00D92ACA">
              <w:rPr>
                <w:rStyle w:val="Hyperlink"/>
                <w:rFonts w:ascii="TitilliumText25L" w:hAnsi="TitilliumText25L"/>
                <w:noProof/>
              </w:rPr>
              <w:t>Resources</w:t>
            </w:r>
            <w:r w:rsidR="004A109C">
              <w:rPr>
                <w:noProof/>
                <w:webHidden/>
              </w:rPr>
              <w:tab/>
            </w:r>
            <w:r w:rsidR="004A109C">
              <w:rPr>
                <w:noProof/>
                <w:webHidden/>
              </w:rPr>
              <w:fldChar w:fldCharType="begin"/>
            </w:r>
            <w:r w:rsidR="004A109C">
              <w:rPr>
                <w:noProof/>
                <w:webHidden/>
              </w:rPr>
              <w:instrText xml:space="preserve"> PAGEREF _Toc390423659 \h </w:instrText>
            </w:r>
            <w:r w:rsidR="004A109C">
              <w:rPr>
                <w:noProof/>
                <w:webHidden/>
              </w:rPr>
            </w:r>
            <w:r w:rsidR="004A109C">
              <w:rPr>
                <w:noProof/>
                <w:webHidden/>
              </w:rPr>
              <w:fldChar w:fldCharType="separate"/>
            </w:r>
            <w:r w:rsidR="0093461B">
              <w:rPr>
                <w:noProof/>
                <w:webHidden/>
              </w:rPr>
              <w:t>9</w:t>
            </w:r>
            <w:r w:rsidR="004A109C">
              <w:rPr>
                <w:noProof/>
                <w:webHidden/>
              </w:rPr>
              <w:fldChar w:fldCharType="end"/>
            </w:r>
          </w:hyperlink>
        </w:p>
        <w:p w:rsidR="004A109C" w:rsidRDefault="009B2FE6">
          <w:pPr>
            <w:pStyle w:val="TOC2"/>
            <w:rPr>
              <w:noProof/>
              <w:lang w:val="en-AU" w:eastAsia="en-AU"/>
            </w:rPr>
          </w:pPr>
          <w:hyperlink w:anchor="_Toc390423660" w:history="1">
            <w:r w:rsidR="004A109C" w:rsidRPr="00D92ACA">
              <w:rPr>
                <w:rStyle w:val="Hyperlink"/>
                <w:rFonts w:ascii="TitilliumText25L" w:hAnsi="TitilliumText25L"/>
                <w:noProof/>
              </w:rPr>
              <w:t>Acknowledgements</w:t>
            </w:r>
            <w:r w:rsidR="004A109C">
              <w:rPr>
                <w:noProof/>
                <w:webHidden/>
              </w:rPr>
              <w:tab/>
            </w:r>
            <w:r w:rsidR="004A109C">
              <w:rPr>
                <w:noProof/>
                <w:webHidden/>
              </w:rPr>
              <w:fldChar w:fldCharType="begin"/>
            </w:r>
            <w:r w:rsidR="004A109C">
              <w:rPr>
                <w:noProof/>
                <w:webHidden/>
              </w:rPr>
              <w:instrText xml:space="preserve"> PAGEREF _Toc390423660 \h </w:instrText>
            </w:r>
            <w:r w:rsidR="004A109C">
              <w:rPr>
                <w:noProof/>
                <w:webHidden/>
              </w:rPr>
            </w:r>
            <w:r w:rsidR="004A109C">
              <w:rPr>
                <w:noProof/>
                <w:webHidden/>
              </w:rPr>
              <w:fldChar w:fldCharType="separate"/>
            </w:r>
            <w:r w:rsidR="0093461B">
              <w:rPr>
                <w:noProof/>
                <w:webHidden/>
              </w:rPr>
              <w:t>9</w:t>
            </w:r>
            <w:r w:rsidR="004A109C">
              <w:rPr>
                <w:noProof/>
                <w:webHidden/>
              </w:rPr>
              <w:fldChar w:fldCharType="end"/>
            </w:r>
          </w:hyperlink>
        </w:p>
        <w:p w:rsidR="004A109C" w:rsidRDefault="009B2FE6">
          <w:pPr>
            <w:pStyle w:val="TOC2"/>
            <w:rPr>
              <w:noProof/>
              <w:lang w:val="en-AU" w:eastAsia="en-AU"/>
            </w:rPr>
          </w:pPr>
          <w:hyperlink w:anchor="_Toc390423661" w:history="1">
            <w:r w:rsidR="004A109C" w:rsidRPr="00D92ACA">
              <w:rPr>
                <w:rStyle w:val="Hyperlink"/>
                <w:rFonts w:ascii="TitilliumText25L" w:hAnsi="TitilliumText25L"/>
                <w:noProof/>
              </w:rPr>
              <w:t>Reference List</w:t>
            </w:r>
            <w:r w:rsidR="004A109C">
              <w:rPr>
                <w:noProof/>
                <w:webHidden/>
              </w:rPr>
              <w:tab/>
            </w:r>
            <w:r w:rsidR="004A109C">
              <w:rPr>
                <w:noProof/>
                <w:webHidden/>
              </w:rPr>
              <w:fldChar w:fldCharType="begin"/>
            </w:r>
            <w:r w:rsidR="004A109C">
              <w:rPr>
                <w:noProof/>
                <w:webHidden/>
              </w:rPr>
              <w:instrText xml:space="preserve"> PAGEREF _Toc390423661 \h </w:instrText>
            </w:r>
            <w:r w:rsidR="004A109C">
              <w:rPr>
                <w:noProof/>
                <w:webHidden/>
              </w:rPr>
            </w:r>
            <w:r w:rsidR="004A109C">
              <w:rPr>
                <w:noProof/>
                <w:webHidden/>
              </w:rPr>
              <w:fldChar w:fldCharType="separate"/>
            </w:r>
            <w:r w:rsidR="0093461B">
              <w:rPr>
                <w:noProof/>
                <w:webHidden/>
              </w:rPr>
              <w:t>10</w:t>
            </w:r>
            <w:r w:rsidR="004A109C">
              <w:rPr>
                <w:noProof/>
                <w:webHidden/>
              </w:rPr>
              <w:fldChar w:fldCharType="end"/>
            </w:r>
          </w:hyperlink>
        </w:p>
        <w:p w:rsidR="004A109C" w:rsidRDefault="009B2FE6">
          <w:pPr>
            <w:pStyle w:val="TOC1"/>
            <w:tabs>
              <w:tab w:val="left" w:pos="1320"/>
              <w:tab w:val="right" w:leader="dot" w:pos="9323"/>
            </w:tabs>
            <w:rPr>
              <w:noProof/>
              <w:lang w:val="en-AU" w:eastAsia="en-AU"/>
            </w:rPr>
          </w:pPr>
          <w:hyperlink w:anchor="_Toc390423662" w:history="1">
            <w:r w:rsidR="004A109C" w:rsidRPr="00D92ACA">
              <w:rPr>
                <w:rStyle w:val="Hyperlink"/>
                <w:rFonts w:ascii="TitilliumText25L" w:hAnsi="TitilliumText25L"/>
                <w:noProof/>
              </w:rPr>
              <w:t>Appendix 1:</w:t>
            </w:r>
            <w:r w:rsidR="004A109C">
              <w:rPr>
                <w:noProof/>
                <w:lang w:val="en-AU" w:eastAsia="en-AU"/>
              </w:rPr>
              <w:tab/>
            </w:r>
            <w:r w:rsidR="004A109C" w:rsidRPr="00D92ACA">
              <w:rPr>
                <w:rStyle w:val="Hyperlink"/>
                <w:rFonts w:ascii="TitilliumText25L" w:hAnsi="TitilliumText25L"/>
                <w:noProof/>
              </w:rPr>
              <w:t>Example Clinical Guideline</w:t>
            </w:r>
            <w:r w:rsidR="004A109C">
              <w:rPr>
                <w:noProof/>
                <w:webHidden/>
              </w:rPr>
              <w:tab/>
            </w:r>
            <w:r w:rsidR="004A109C">
              <w:rPr>
                <w:noProof/>
                <w:webHidden/>
              </w:rPr>
              <w:fldChar w:fldCharType="begin"/>
            </w:r>
            <w:r w:rsidR="004A109C">
              <w:rPr>
                <w:noProof/>
                <w:webHidden/>
              </w:rPr>
              <w:instrText xml:space="preserve"> PAGEREF _Toc390423662 \h </w:instrText>
            </w:r>
            <w:r w:rsidR="004A109C">
              <w:rPr>
                <w:noProof/>
                <w:webHidden/>
              </w:rPr>
            </w:r>
            <w:r w:rsidR="004A109C">
              <w:rPr>
                <w:noProof/>
                <w:webHidden/>
              </w:rPr>
              <w:fldChar w:fldCharType="separate"/>
            </w:r>
            <w:r w:rsidR="0093461B">
              <w:rPr>
                <w:noProof/>
                <w:webHidden/>
              </w:rPr>
              <w:t>11</w:t>
            </w:r>
            <w:r w:rsidR="004A109C">
              <w:rPr>
                <w:noProof/>
                <w:webHidden/>
              </w:rPr>
              <w:fldChar w:fldCharType="end"/>
            </w:r>
          </w:hyperlink>
        </w:p>
        <w:p w:rsidR="004A109C" w:rsidRDefault="009B2FE6">
          <w:pPr>
            <w:pStyle w:val="TOC1"/>
            <w:tabs>
              <w:tab w:val="left" w:pos="1320"/>
              <w:tab w:val="right" w:leader="dot" w:pos="9323"/>
            </w:tabs>
            <w:rPr>
              <w:noProof/>
              <w:lang w:val="en-AU" w:eastAsia="en-AU"/>
            </w:rPr>
          </w:pPr>
          <w:hyperlink w:anchor="_Toc390423663" w:history="1">
            <w:r w:rsidR="004A109C" w:rsidRPr="00D92ACA">
              <w:rPr>
                <w:rStyle w:val="Hyperlink"/>
                <w:rFonts w:ascii="TitilliumText25L" w:hAnsi="TitilliumText25L"/>
                <w:noProof/>
              </w:rPr>
              <w:t>Appendix 2:</w:t>
            </w:r>
            <w:r w:rsidR="004A109C">
              <w:rPr>
                <w:noProof/>
                <w:lang w:val="en-AU" w:eastAsia="en-AU"/>
              </w:rPr>
              <w:tab/>
            </w:r>
            <w:r w:rsidR="004A109C" w:rsidRPr="00D92ACA">
              <w:rPr>
                <w:rStyle w:val="Hyperlink"/>
                <w:rFonts w:ascii="TitilliumText25L" w:hAnsi="TitilliumText25L"/>
                <w:noProof/>
              </w:rPr>
              <w:t>Considerations and guidance for implementation of single unit transfusion</w:t>
            </w:r>
            <w:r w:rsidR="004A109C">
              <w:rPr>
                <w:noProof/>
                <w:webHidden/>
              </w:rPr>
              <w:tab/>
            </w:r>
            <w:r w:rsidR="004A109C">
              <w:rPr>
                <w:noProof/>
                <w:webHidden/>
              </w:rPr>
              <w:fldChar w:fldCharType="begin"/>
            </w:r>
            <w:r w:rsidR="004A109C">
              <w:rPr>
                <w:noProof/>
                <w:webHidden/>
              </w:rPr>
              <w:instrText xml:space="preserve"> PAGEREF _Toc390423663 \h </w:instrText>
            </w:r>
            <w:r w:rsidR="004A109C">
              <w:rPr>
                <w:noProof/>
                <w:webHidden/>
              </w:rPr>
            </w:r>
            <w:r w:rsidR="004A109C">
              <w:rPr>
                <w:noProof/>
                <w:webHidden/>
              </w:rPr>
              <w:fldChar w:fldCharType="separate"/>
            </w:r>
            <w:r w:rsidR="0093461B">
              <w:rPr>
                <w:noProof/>
                <w:webHidden/>
              </w:rPr>
              <w:t>23</w:t>
            </w:r>
            <w:r w:rsidR="004A109C">
              <w:rPr>
                <w:noProof/>
                <w:webHidden/>
              </w:rPr>
              <w:fldChar w:fldCharType="end"/>
            </w:r>
          </w:hyperlink>
        </w:p>
        <w:p w:rsidR="004A109C" w:rsidRDefault="009B2FE6">
          <w:pPr>
            <w:pStyle w:val="TOC1"/>
            <w:tabs>
              <w:tab w:val="left" w:pos="1320"/>
              <w:tab w:val="right" w:leader="dot" w:pos="9323"/>
            </w:tabs>
            <w:rPr>
              <w:noProof/>
              <w:lang w:val="en-AU" w:eastAsia="en-AU"/>
            </w:rPr>
          </w:pPr>
          <w:hyperlink w:anchor="_Toc390423664" w:history="1">
            <w:r w:rsidR="004A109C" w:rsidRPr="00D92ACA">
              <w:rPr>
                <w:rStyle w:val="Hyperlink"/>
                <w:rFonts w:ascii="TitilliumText25L" w:hAnsi="TitilliumText25L"/>
                <w:noProof/>
                <w:lang w:val="en-GB"/>
              </w:rPr>
              <w:t>Appendix 3:</w:t>
            </w:r>
            <w:r w:rsidR="004A109C">
              <w:rPr>
                <w:noProof/>
                <w:lang w:val="en-AU" w:eastAsia="en-AU"/>
              </w:rPr>
              <w:tab/>
            </w:r>
            <w:r w:rsidR="004A109C" w:rsidRPr="00D92ACA">
              <w:rPr>
                <w:rStyle w:val="Hyperlink"/>
                <w:rFonts w:ascii="TitilliumText25L" w:hAnsi="TitilliumText25L"/>
                <w:noProof/>
                <w:lang w:val="en-GB"/>
              </w:rPr>
              <w:t>Example Handout Summary for a Single Unit Policy</w:t>
            </w:r>
            <w:r w:rsidR="004A109C">
              <w:rPr>
                <w:noProof/>
                <w:webHidden/>
              </w:rPr>
              <w:tab/>
            </w:r>
            <w:r w:rsidR="004A109C">
              <w:rPr>
                <w:noProof/>
                <w:webHidden/>
              </w:rPr>
              <w:fldChar w:fldCharType="begin"/>
            </w:r>
            <w:r w:rsidR="004A109C">
              <w:rPr>
                <w:noProof/>
                <w:webHidden/>
              </w:rPr>
              <w:instrText xml:space="preserve"> PAGEREF _Toc390423664 \h </w:instrText>
            </w:r>
            <w:r w:rsidR="004A109C">
              <w:rPr>
                <w:noProof/>
                <w:webHidden/>
              </w:rPr>
            </w:r>
            <w:r w:rsidR="004A109C">
              <w:rPr>
                <w:noProof/>
                <w:webHidden/>
              </w:rPr>
              <w:fldChar w:fldCharType="separate"/>
            </w:r>
            <w:r w:rsidR="0093461B">
              <w:rPr>
                <w:noProof/>
                <w:webHidden/>
              </w:rPr>
              <w:t>32</w:t>
            </w:r>
            <w:r w:rsidR="004A109C">
              <w:rPr>
                <w:noProof/>
                <w:webHidden/>
              </w:rPr>
              <w:fldChar w:fldCharType="end"/>
            </w:r>
          </w:hyperlink>
        </w:p>
        <w:p w:rsidR="00095F87" w:rsidRPr="00C169DB" w:rsidRDefault="00095F87">
          <w:pPr>
            <w:rPr>
              <w:rFonts w:ascii="TitilliumText25L" w:hAnsi="TitilliumText25L"/>
            </w:rPr>
          </w:pPr>
          <w:r w:rsidRPr="00C169DB">
            <w:rPr>
              <w:rFonts w:ascii="TitilliumText25L" w:hAnsi="TitilliumText25L"/>
              <w:b/>
              <w:bCs/>
              <w:noProof/>
            </w:rPr>
            <w:fldChar w:fldCharType="end"/>
          </w:r>
        </w:p>
      </w:sdtContent>
    </w:sdt>
    <w:p w:rsidR="00095F87" w:rsidRPr="00C169DB" w:rsidRDefault="00095F87" w:rsidP="00095F87">
      <w:pPr>
        <w:rPr>
          <w:rFonts w:ascii="TitilliumText25L" w:eastAsia="HYGothic-Extra" w:hAnsi="TitilliumText25L"/>
          <w:color w:val="1E1E1E"/>
          <w:spacing w:val="-20"/>
          <w:szCs w:val="72"/>
        </w:rPr>
      </w:pPr>
      <w:r w:rsidRPr="00C169DB">
        <w:rPr>
          <w:rFonts w:ascii="TitilliumText25L" w:hAnsi="TitilliumText25L"/>
        </w:rPr>
        <w:br w:type="page"/>
      </w:r>
    </w:p>
    <w:p w:rsidR="00BC19FA" w:rsidRDefault="00466BB8" w:rsidP="00BC19FA">
      <w:pPr>
        <w:pStyle w:val="Heading2"/>
        <w:spacing w:before="0" w:after="0" w:line="276" w:lineRule="auto"/>
        <w:rPr>
          <w:rFonts w:ascii="TitilliumText25L" w:hAnsi="TitilliumText25L"/>
        </w:rPr>
      </w:pPr>
      <w:r>
        <w:rPr>
          <w:noProof/>
          <w:lang w:eastAsia="en-AU"/>
        </w:rPr>
        <w:drawing>
          <wp:inline distT="0" distB="0" distL="0" distR="0" wp14:anchorId="6072CC0D" wp14:editId="558317A5">
            <wp:extent cx="5926455" cy="229713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26455" cy="2297134"/>
                    </a:xfrm>
                    <a:prstGeom prst="rect">
                      <a:avLst/>
                    </a:prstGeom>
                  </pic:spPr>
                </pic:pic>
              </a:graphicData>
            </a:graphic>
          </wp:inline>
        </w:drawing>
      </w:r>
    </w:p>
    <w:p w:rsidR="004A109C" w:rsidRDefault="004A109C" w:rsidP="00BC19FA">
      <w:pPr>
        <w:pStyle w:val="Heading2"/>
        <w:spacing w:before="0" w:after="0" w:line="276" w:lineRule="auto"/>
        <w:rPr>
          <w:rFonts w:ascii="TitilliumText25L" w:hAnsi="TitilliumText25L"/>
        </w:rPr>
      </w:pPr>
    </w:p>
    <w:p w:rsidR="00933C78" w:rsidRPr="00C169DB" w:rsidRDefault="006C5E84" w:rsidP="00BC19FA">
      <w:pPr>
        <w:pStyle w:val="Heading2"/>
        <w:spacing w:before="0" w:after="0" w:line="276" w:lineRule="auto"/>
        <w:rPr>
          <w:rFonts w:ascii="TitilliumText25L" w:hAnsi="TitilliumText25L"/>
        </w:rPr>
      </w:pPr>
      <w:bookmarkStart w:id="2" w:name="_Toc390423652"/>
      <w:r w:rsidRPr="00C169DB">
        <w:rPr>
          <w:rFonts w:ascii="TitilliumText25L" w:hAnsi="TitilliumText25L"/>
        </w:rPr>
        <w:t>Why have a single unit transfusion guide</w:t>
      </w:r>
      <w:r w:rsidR="00933C78" w:rsidRPr="00C169DB">
        <w:rPr>
          <w:rFonts w:ascii="TitilliumText25L" w:hAnsi="TitilliumText25L"/>
        </w:rPr>
        <w:t>?</w:t>
      </w:r>
      <w:bookmarkEnd w:id="2"/>
    </w:p>
    <w:p w:rsidR="002545C7" w:rsidRPr="00C169DB" w:rsidRDefault="002545C7" w:rsidP="002545C7">
      <w:r w:rsidRPr="00C169DB">
        <w:rPr>
          <w:rFonts w:ascii="TitilliumText25L" w:hAnsi="TitilliumText25L"/>
          <w:sz w:val="56"/>
          <w:szCs w:val="56"/>
        </w:rPr>
        <w:t xml:space="preserve">Every </w:t>
      </w:r>
      <w:r w:rsidRPr="00C169DB">
        <w:rPr>
          <w:rFonts w:ascii="TitilliumText25L" w:hAnsi="TitilliumText25L"/>
          <w:color w:val="C60C30"/>
          <w:sz w:val="56"/>
          <w:szCs w:val="56"/>
        </w:rPr>
        <w:t>ONE</w:t>
      </w:r>
      <w:r w:rsidRPr="00C169DB">
        <w:rPr>
          <w:rFonts w:ascii="TitilliumText25L" w:hAnsi="TitilliumText25L"/>
          <w:color w:val="FF0000"/>
          <w:sz w:val="56"/>
          <w:szCs w:val="56"/>
        </w:rPr>
        <w:t xml:space="preserve"> </w:t>
      </w:r>
      <w:r w:rsidRPr="00C169DB">
        <w:rPr>
          <w:rFonts w:ascii="TitilliumText25L" w:hAnsi="TitilliumText25L"/>
          <w:sz w:val="56"/>
          <w:szCs w:val="56"/>
        </w:rPr>
        <w:t>matters”</w:t>
      </w:r>
    </w:p>
    <w:p w:rsidR="00B060FF" w:rsidRPr="00C169DB" w:rsidRDefault="00451D63" w:rsidP="00255EBA">
      <w:pPr>
        <w:spacing w:after="120"/>
        <w:rPr>
          <w:rFonts w:ascii="TitilliumText25L" w:hAnsi="TitilliumText25L"/>
        </w:rPr>
      </w:pPr>
      <w:r w:rsidRPr="00C169DB">
        <w:rPr>
          <w:rFonts w:ascii="TitilliumText25L" w:hAnsi="TitilliumText25L"/>
        </w:rPr>
        <w:t xml:space="preserve">This </w:t>
      </w:r>
      <w:r w:rsidR="00C479DB" w:rsidRPr="00C169DB">
        <w:rPr>
          <w:rFonts w:ascii="TitilliumText25L" w:hAnsi="TitilliumText25L"/>
        </w:rPr>
        <w:t>g</w:t>
      </w:r>
      <w:r w:rsidRPr="00C169DB">
        <w:rPr>
          <w:rFonts w:ascii="TitilliumText25L" w:hAnsi="TitilliumText25L"/>
        </w:rPr>
        <w:t xml:space="preserve">uide </w:t>
      </w:r>
      <w:r w:rsidR="009230DD" w:rsidRPr="00C169DB">
        <w:rPr>
          <w:rFonts w:ascii="TitilliumText25L" w:hAnsi="TitilliumText25L"/>
        </w:rPr>
        <w:t>aims</w:t>
      </w:r>
      <w:r w:rsidRPr="00C169DB">
        <w:rPr>
          <w:rFonts w:ascii="TitilliumText25L" w:hAnsi="TitilliumText25L"/>
        </w:rPr>
        <w:t xml:space="preserve"> </w:t>
      </w:r>
      <w:r w:rsidR="008769D1" w:rsidRPr="00C169DB">
        <w:rPr>
          <w:rFonts w:ascii="TitilliumText25L" w:hAnsi="TitilliumText25L"/>
        </w:rPr>
        <w:t xml:space="preserve">to </w:t>
      </w:r>
      <w:r w:rsidRPr="00C169DB">
        <w:rPr>
          <w:rFonts w:ascii="TitilliumText25L" w:hAnsi="TitilliumText25L"/>
        </w:rPr>
        <w:t xml:space="preserve">improve clinical practice </w:t>
      </w:r>
      <w:r w:rsidR="00E233B6" w:rsidRPr="00C169DB">
        <w:rPr>
          <w:rFonts w:ascii="TitilliumText25L" w:hAnsi="TitilliumText25L"/>
        </w:rPr>
        <w:t xml:space="preserve">and patient outcomes </w:t>
      </w:r>
      <w:r w:rsidR="0020033D" w:rsidRPr="00C169DB">
        <w:rPr>
          <w:rFonts w:ascii="TitilliumText25L" w:hAnsi="TitilliumText25L"/>
        </w:rPr>
        <w:t>through alignment</w:t>
      </w:r>
      <w:r w:rsidRPr="00C169DB">
        <w:rPr>
          <w:rFonts w:ascii="TitilliumText25L" w:hAnsi="TitilliumText25L"/>
        </w:rPr>
        <w:t xml:space="preserve"> with the Patient Blood Management </w:t>
      </w:r>
      <w:r w:rsidR="00D3230A" w:rsidRPr="00C169DB">
        <w:rPr>
          <w:rFonts w:ascii="TitilliumText25L" w:hAnsi="TitilliumText25L"/>
        </w:rPr>
        <w:t>Guidelines.</w:t>
      </w:r>
      <w:r w:rsidR="007D7B61" w:rsidRPr="00C169DB">
        <w:rPr>
          <w:rFonts w:ascii="TitilliumText25L" w:hAnsi="TitilliumText25L"/>
        </w:rPr>
        <w:fldChar w:fldCharType="begin" w:fldLock="1"/>
      </w:r>
      <w:r w:rsidR="00686A05"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"2012" ] ] }, "publisher-place" : "Canberra, Australia", "title" : "Patient blood management guidelines: Module 2 \u2013 Perioperative.", "type" : "book" }, "uris" : [ "http://www.mendeley.com/documents/?uuid=956cf09d-f9be-4289-a9d0-a6445424b170" ] }, { "id" : "ITEM-3", "itemData" : { "author" : [ { "dropping-particle" : "", "family" : "National Blood Authority", "given" : "", "non-dropping-particle" : "", "parse-names" : false, "suffix" : "" } ], "id" : "ITEM-3", "issued" : { "date-parts" : [ [ "2013" ] ] }, "publisher-place" : "Canberra, Australia", "title" : "Patient blood management guidelines: Module 4 \u2013 Critical Care", "type" : "book" }, "uris" : [ "http://www.mendeley.com/documents/?uuid=ea39fd74-ab5a-47df-93c5-ce717f8041eb" ] } ], "mendeley" : { "previouslyFormattedCitation" : "&lt;sup&gt;1\u20133&lt;/sup&gt;" }, "properties" : { "noteIndex" : 0 }, "schema" : "https://github.com/citation-style-language/schema/raw/master/csl-citation.json" }</w:instrText>
      </w:r>
      <w:r w:rsidR="007D7B61" w:rsidRPr="00C169DB">
        <w:rPr>
          <w:rFonts w:ascii="TitilliumText25L" w:hAnsi="TitilliumText25L"/>
        </w:rPr>
        <w:fldChar w:fldCharType="separate"/>
      </w:r>
      <w:r w:rsidR="00686A05" w:rsidRPr="00C169DB">
        <w:rPr>
          <w:rFonts w:ascii="TitilliumText25L" w:hAnsi="TitilliumText25L"/>
          <w:noProof/>
          <w:vertAlign w:val="superscript"/>
        </w:rPr>
        <w:t>1–3</w:t>
      </w:r>
      <w:r w:rsidR="007D7B61" w:rsidRPr="00C169DB">
        <w:rPr>
          <w:rFonts w:ascii="TitilliumText25L" w:hAnsi="TitilliumText25L"/>
        </w:rPr>
        <w:fldChar w:fldCharType="end"/>
      </w:r>
      <w:r w:rsidR="00D66A60" w:rsidRPr="00C169DB">
        <w:rPr>
          <w:rFonts w:ascii="TitilliumText25L" w:hAnsi="TitilliumText25L"/>
        </w:rPr>
        <w:t xml:space="preserve"> </w:t>
      </w:r>
      <w:r w:rsidR="00B060FF" w:rsidRPr="00C169DB">
        <w:rPr>
          <w:rFonts w:ascii="TitilliumText25L" w:hAnsi="TitilliumText25L"/>
        </w:rPr>
        <w:t xml:space="preserve">It is intended for use by all clinicians responsible for prescribing </w:t>
      </w:r>
      <w:r w:rsidR="0020033D" w:rsidRPr="00C169DB">
        <w:rPr>
          <w:rFonts w:ascii="TitilliumText25L" w:hAnsi="TitilliumText25L"/>
        </w:rPr>
        <w:t xml:space="preserve">red </w:t>
      </w:r>
      <w:r w:rsidR="00B060FF" w:rsidRPr="00C169DB">
        <w:rPr>
          <w:rFonts w:ascii="TitilliumText25L" w:hAnsi="TitilliumText25L"/>
        </w:rPr>
        <w:t xml:space="preserve">blood </w:t>
      </w:r>
      <w:r w:rsidR="0020033D" w:rsidRPr="00C169DB">
        <w:rPr>
          <w:rFonts w:ascii="TitilliumText25L" w:hAnsi="TitilliumText25L"/>
        </w:rPr>
        <w:t xml:space="preserve">cell </w:t>
      </w:r>
      <w:r w:rsidR="00B060FF" w:rsidRPr="00C169DB">
        <w:rPr>
          <w:rFonts w:ascii="TitilliumText25L" w:hAnsi="TitilliumText25L"/>
        </w:rPr>
        <w:t>transfusion</w:t>
      </w:r>
      <w:r w:rsidR="00C479DB" w:rsidRPr="00C169DB">
        <w:rPr>
          <w:rFonts w:ascii="TitilliumText25L" w:hAnsi="TitilliumText25L"/>
        </w:rPr>
        <w:t>.</w:t>
      </w:r>
      <w:r w:rsidR="00B060FF" w:rsidRPr="00C169DB">
        <w:rPr>
          <w:rFonts w:ascii="TitilliumText25L" w:hAnsi="TitilliumText25L"/>
        </w:rPr>
        <w:t xml:space="preserve"> </w:t>
      </w:r>
      <w:r w:rsidR="00C479DB" w:rsidRPr="00C169DB">
        <w:rPr>
          <w:rFonts w:ascii="TitilliumText25L" w:hAnsi="TitilliumText25L"/>
        </w:rPr>
        <w:t xml:space="preserve">The single unit transfusion guide can be applied </w:t>
      </w:r>
      <w:r w:rsidR="00B060FF" w:rsidRPr="00C169DB">
        <w:rPr>
          <w:rFonts w:ascii="TitilliumText25L" w:hAnsi="TitilliumText25L"/>
        </w:rPr>
        <w:t xml:space="preserve">to </w:t>
      </w:r>
      <w:r w:rsidR="00B060FF" w:rsidRPr="00C169DB">
        <w:rPr>
          <w:rFonts w:ascii="TitilliumText25L" w:hAnsi="TitilliumText25L"/>
          <w:b/>
        </w:rPr>
        <w:t>stable</w:t>
      </w:r>
      <w:r w:rsidRPr="00C169DB">
        <w:rPr>
          <w:rFonts w:ascii="TitilliumText25L" w:hAnsi="TitilliumText25L"/>
          <w:b/>
        </w:rPr>
        <w:t>,</w:t>
      </w:r>
      <w:r w:rsidR="00B060FF" w:rsidRPr="00C169DB">
        <w:rPr>
          <w:rFonts w:ascii="TitilliumText25L" w:hAnsi="TitilliumText25L"/>
          <w:b/>
        </w:rPr>
        <w:t xml:space="preserve"> normovolaemic </w:t>
      </w:r>
      <w:r w:rsidR="00C479DB" w:rsidRPr="00C169DB">
        <w:rPr>
          <w:rFonts w:ascii="TitilliumText25L" w:hAnsi="TitilliumText25L"/>
          <w:b/>
        </w:rPr>
        <w:t xml:space="preserve">adult </w:t>
      </w:r>
      <w:r w:rsidR="00B060FF" w:rsidRPr="00C169DB">
        <w:rPr>
          <w:rFonts w:ascii="TitilliumText25L" w:hAnsi="TitilliumText25L"/>
          <w:b/>
        </w:rPr>
        <w:t>patients</w:t>
      </w:r>
      <w:r w:rsidR="00C479DB" w:rsidRPr="00C169DB">
        <w:rPr>
          <w:rFonts w:ascii="TitilliumText25L" w:hAnsi="TitilliumText25L"/>
        </w:rPr>
        <w:t xml:space="preserve">, in an </w:t>
      </w:r>
      <w:r w:rsidR="00C479DB" w:rsidRPr="00C169DB">
        <w:rPr>
          <w:rFonts w:ascii="TitilliumText25L" w:hAnsi="TitilliumText25L"/>
          <w:b/>
        </w:rPr>
        <w:t>inpatient</w:t>
      </w:r>
      <w:r w:rsidR="00C479DB" w:rsidRPr="00C169DB">
        <w:rPr>
          <w:rFonts w:ascii="TitilliumText25L" w:hAnsi="TitilliumText25L"/>
        </w:rPr>
        <w:t xml:space="preserve"> setting,</w:t>
      </w:r>
      <w:r w:rsidR="00B060FF" w:rsidRPr="00C169DB">
        <w:rPr>
          <w:rFonts w:ascii="TitilliumText25L" w:hAnsi="TitilliumText25L"/>
        </w:rPr>
        <w:t xml:space="preserve"> who </w:t>
      </w:r>
      <w:r w:rsidR="00C479DB" w:rsidRPr="00C169DB">
        <w:rPr>
          <w:rFonts w:ascii="TitilliumText25L" w:hAnsi="TitilliumText25L"/>
          <w:b/>
        </w:rPr>
        <w:t>do not have clinically significant</w:t>
      </w:r>
      <w:r w:rsidR="00290071" w:rsidRPr="00C169DB">
        <w:rPr>
          <w:rFonts w:ascii="TitilliumText25L" w:hAnsi="TitilliumText25L"/>
          <w:b/>
        </w:rPr>
        <w:t xml:space="preserve"> bleeding</w:t>
      </w:r>
      <w:r w:rsidR="00AC23F3" w:rsidRPr="00C169DB">
        <w:rPr>
          <w:rFonts w:ascii="TitilliumText25L" w:hAnsi="TitilliumText25L"/>
          <w:b/>
        </w:rPr>
        <w:t>.</w:t>
      </w:r>
      <w:r w:rsidR="00AC23F3" w:rsidRPr="00C169DB">
        <w:rPr>
          <w:rFonts w:ascii="TitilliumText25L" w:hAnsi="TitilliumText25L"/>
        </w:rPr>
        <w:fldChar w:fldCharType="begin" w:fldLock="1"/>
      </w:r>
      <w:r w:rsidR="00686A05" w:rsidRPr="00C169DB">
        <w:rPr>
          <w:rFonts w:ascii="TitilliumText25L" w:hAnsi="TitilliumText25L"/>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"&lt;sup&gt;4&lt;/sup&gt;" }, "properties" : { "noteIndex" : 0 }, "schema" : "https://github.com/citation-style-language/schema/raw/master/csl-citation.json" }</w:instrText>
      </w:r>
      <w:r w:rsidR="00AC23F3" w:rsidRPr="00C169DB">
        <w:rPr>
          <w:rFonts w:ascii="TitilliumText25L" w:hAnsi="TitilliumText25L"/>
        </w:rPr>
        <w:fldChar w:fldCharType="separate"/>
      </w:r>
      <w:r w:rsidR="00686A05" w:rsidRPr="00C169DB">
        <w:rPr>
          <w:rFonts w:ascii="TitilliumText25L" w:hAnsi="TitilliumText25L"/>
          <w:noProof/>
          <w:vertAlign w:val="superscript"/>
        </w:rPr>
        <w:t>4</w:t>
      </w:r>
      <w:r w:rsidR="00AC23F3" w:rsidRPr="00C169DB">
        <w:rPr>
          <w:rFonts w:ascii="TitilliumText25L" w:hAnsi="TitilliumText25L"/>
        </w:rPr>
        <w:fldChar w:fldCharType="end"/>
      </w:r>
    </w:p>
    <w:p w:rsidR="009325F7" w:rsidRPr="00C169DB" w:rsidRDefault="004A16C2" w:rsidP="009325F7">
      <w:pPr>
        <w:spacing w:after="120"/>
        <w:rPr>
          <w:rFonts w:ascii="TitilliumText25L" w:hAnsi="TitilliumText25L"/>
        </w:rPr>
      </w:pPr>
      <w:r w:rsidRPr="00C169DB">
        <w:rPr>
          <w:rFonts w:ascii="TitilliumText25L" w:hAnsi="TitilliumText25L"/>
        </w:rPr>
        <w:t xml:space="preserve">To ensure action is taken to increase patient safety, reduce the risks of patient harm and to reduce the risks associated with </w:t>
      </w:r>
      <w:r w:rsidR="000973A1" w:rsidRPr="00C169DB">
        <w:rPr>
          <w:rFonts w:ascii="TitilliumText25L" w:hAnsi="TitilliumText25L"/>
        </w:rPr>
        <w:t>transfusion practices and</w:t>
      </w:r>
      <w:r w:rsidRPr="00C169DB">
        <w:rPr>
          <w:rFonts w:ascii="TitilliumText25L" w:hAnsi="TitilliumText25L"/>
        </w:rPr>
        <w:t xml:space="preserve"> the clinical use of blood and blood products.</w:t>
      </w:r>
    </w:p>
    <w:p w:rsidR="009325F7" w:rsidRPr="00C169DB" w:rsidRDefault="009325F7" w:rsidP="009325F7">
      <w:pPr>
        <w:spacing w:after="120"/>
        <w:rPr>
          <w:rFonts w:ascii="TitilliumText25L" w:hAnsi="TitilliumText25L"/>
          <w:color w:val="C60C30"/>
          <w:sz w:val="20"/>
        </w:rPr>
      </w:pPr>
      <w:r w:rsidRPr="00C169DB">
        <w:rPr>
          <w:rFonts w:ascii="TitilliumText25L" w:hAnsi="TitilliumText25L"/>
          <w:b/>
          <w:color w:val="C60C30"/>
        </w:rPr>
        <w:t>Reminder:</w:t>
      </w:r>
      <w:r w:rsidRPr="00C169DB">
        <w:rPr>
          <w:rFonts w:ascii="TitilliumText25L" w:hAnsi="TitilliumText25L"/>
          <w:color w:val="C60C30"/>
        </w:rPr>
        <w:t xml:space="preserve"> This guide does not apply to the patient with clinically significant bleeding</w:t>
      </w:r>
      <w:r w:rsidRPr="00C169DB">
        <w:rPr>
          <w:rStyle w:val="FootnoteReference"/>
          <w:rFonts w:ascii="TitilliumText25L" w:hAnsi="TitilliumText25L"/>
          <w:color w:val="C60C30"/>
        </w:rPr>
        <w:footnoteReference w:id="1"/>
      </w:r>
      <w:r w:rsidRPr="00C169DB">
        <w:rPr>
          <w:rFonts w:ascii="TitilliumText25L" w:hAnsi="TitilliumText25L"/>
          <w:color w:val="C60C30"/>
        </w:rPr>
        <w:t>.</w:t>
      </w:r>
      <w:r w:rsidRPr="00C169DB">
        <w:rPr>
          <w:rFonts w:ascii="TitilliumText25L" w:hAnsi="TitilliumText25L"/>
          <w:color w:val="C60C30"/>
        </w:rPr>
        <w:fldChar w:fldCharType="begin" w:fldLock="1"/>
      </w:r>
      <w:r w:rsidRPr="00C169DB">
        <w:rPr>
          <w:rFonts w:ascii="TitilliumText25L" w:hAnsi="TitilliumText25L"/>
          <w:color w:val="C60C30"/>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"&lt;sup&gt;4&lt;/sup&gt;" }, "properties" : { "noteIndex" : 0 }, "schema" : "https://github.com/citation-style-language/schema/raw/master/csl-citation.json" }</w:instrText>
      </w:r>
      <w:r w:rsidRPr="00C169DB">
        <w:rPr>
          <w:rFonts w:ascii="TitilliumText25L" w:hAnsi="TitilliumText25L"/>
          <w:color w:val="C60C30"/>
        </w:rPr>
        <w:fldChar w:fldCharType="separate"/>
      </w:r>
      <w:r w:rsidRPr="00C169DB">
        <w:rPr>
          <w:rFonts w:ascii="TitilliumText25L" w:hAnsi="TitilliumText25L"/>
          <w:noProof/>
          <w:color w:val="C60C30"/>
          <w:vertAlign w:val="superscript"/>
        </w:rPr>
        <w:t>4</w:t>
      </w:r>
      <w:r w:rsidRPr="00C169DB">
        <w:rPr>
          <w:rFonts w:ascii="TitilliumText25L" w:hAnsi="TitilliumText25L"/>
          <w:color w:val="C60C30"/>
        </w:rPr>
        <w:fldChar w:fldCharType="end"/>
      </w:r>
      <w:r w:rsidRPr="00C169DB">
        <w:rPr>
          <w:rFonts w:ascii="TitilliumText25L" w:hAnsi="TitilliumText25L"/>
          <w:color w:val="C60C30"/>
        </w:rPr>
        <w:t xml:space="preserve"> There may be other patients to whom this policy does not apply, as assessed by the treating clinician.</w:t>
      </w:r>
      <w:r w:rsidRPr="00C169DB">
        <w:rPr>
          <w:rFonts w:ascii="TitilliumText25L" w:hAnsi="TitilliumText25L"/>
          <w:color w:val="C60C30"/>
          <w:sz w:val="20"/>
        </w:rPr>
        <w:t xml:space="preserve"> </w:t>
      </w:r>
    </w:p>
    <w:p w:rsidR="00E45206" w:rsidRPr="00C169DB" w:rsidRDefault="00E45206" w:rsidP="009325F7">
      <w:pPr>
        <w:pStyle w:val="Heading2"/>
        <w:spacing w:before="240" w:line="276" w:lineRule="auto"/>
        <w:rPr>
          <w:rFonts w:ascii="TitilliumText25L" w:hAnsi="TitilliumText25L"/>
        </w:rPr>
      </w:pPr>
      <w:bookmarkStart w:id="3" w:name="_Toc390423653"/>
      <w:r w:rsidRPr="00C169DB">
        <w:rPr>
          <w:rFonts w:ascii="TitilliumText25L" w:hAnsi="TitilliumText25L"/>
        </w:rPr>
        <w:t>Which health care professionals should use this guide?</w:t>
      </w:r>
      <w:bookmarkEnd w:id="3"/>
    </w:p>
    <w:p w:rsidR="00FC5712" w:rsidRPr="00C169DB" w:rsidRDefault="006C5E84" w:rsidP="00D34CAB">
      <w:pPr>
        <w:pStyle w:val="ListParagraph"/>
        <w:numPr>
          <w:ilvl w:val="0"/>
          <w:numId w:val="4"/>
        </w:numPr>
        <w:spacing w:after="120"/>
        <w:ind w:left="357" w:hanging="357"/>
        <w:rPr>
          <w:rFonts w:ascii="TitilliumText25L" w:hAnsi="TitilliumText25L"/>
        </w:rPr>
      </w:pPr>
      <w:r w:rsidRPr="00C169DB">
        <w:rPr>
          <w:rFonts w:ascii="TitilliumText25L" w:hAnsi="TitilliumText25L"/>
        </w:rPr>
        <w:t>C</w:t>
      </w:r>
      <w:r w:rsidR="00A47CA4" w:rsidRPr="00C169DB">
        <w:rPr>
          <w:rFonts w:ascii="TitilliumText25L" w:hAnsi="TitilliumText25L"/>
        </w:rPr>
        <w:t xml:space="preserve">linicians responsible for the clinical assessment, care planning and management of patients potentially requiring red </w:t>
      </w:r>
      <w:r w:rsidR="0020033D" w:rsidRPr="00C169DB">
        <w:rPr>
          <w:rFonts w:ascii="TitilliumText25L" w:hAnsi="TitilliumText25L"/>
        </w:rPr>
        <w:t xml:space="preserve">blood </w:t>
      </w:r>
      <w:r w:rsidR="00A47CA4" w:rsidRPr="00C169DB">
        <w:rPr>
          <w:rFonts w:ascii="TitilliumText25L" w:hAnsi="TitilliumText25L"/>
        </w:rPr>
        <w:t>cell transfusion therapy</w:t>
      </w:r>
      <w:r w:rsidR="008B13A9" w:rsidRPr="00C169DB">
        <w:rPr>
          <w:rFonts w:ascii="TitilliumText25L" w:hAnsi="TitilliumText25L"/>
        </w:rPr>
        <w:t>.</w:t>
      </w:r>
    </w:p>
    <w:p w:rsidR="00FC5712" w:rsidRPr="00C169DB" w:rsidRDefault="0093498D" w:rsidP="00D34CAB">
      <w:pPr>
        <w:pStyle w:val="ListParagraph"/>
        <w:numPr>
          <w:ilvl w:val="0"/>
          <w:numId w:val="4"/>
        </w:numPr>
        <w:spacing w:after="120"/>
        <w:ind w:left="357" w:hanging="357"/>
        <w:rPr>
          <w:rFonts w:ascii="TitilliumText25L" w:hAnsi="TitilliumText25L"/>
        </w:rPr>
      </w:pPr>
      <w:r w:rsidRPr="00C169DB">
        <w:rPr>
          <w:rFonts w:ascii="TitilliumText25L" w:hAnsi="TitilliumText25L"/>
        </w:rPr>
        <w:t xml:space="preserve">Nurses carrying out </w:t>
      </w:r>
      <w:r w:rsidR="00E01FC5" w:rsidRPr="00C169DB">
        <w:rPr>
          <w:rFonts w:ascii="TitilliumText25L" w:hAnsi="TitilliumText25L"/>
        </w:rPr>
        <w:t xml:space="preserve">transfusion related </w:t>
      </w:r>
      <w:r w:rsidRPr="00C169DB">
        <w:rPr>
          <w:rFonts w:ascii="TitilliumText25L" w:hAnsi="TitilliumText25L"/>
        </w:rPr>
        <w:t>patient care</w:t>
      </w:r>
      <w:r w:rsidR="00E01FC5" w:rsidRPr="00C169DB">
        <w:rPr>
          <w:rFonts w:ascii="TitilliumText25L" w:hAnsi="TitilliumText25L"/>
        </w:rPr>
        <w:t xml:space="preserve"> including administration and </w:t>
      </w:r>
      <w:r w:rsidRPr="00C169DB">
        <w:rPr>
          <w:rFonts w:ascii="TitilliumText25L" w:hAnsi="TitilliumText25L"/>
        </w:rPr>
        <w:t>mo</w:t>
      </w:r>
      <w:r w:rsidR="00E64D46" w:rsidRPr="00C169DB">
        <w:rPr>
          <w:rFonts w:ascii="TitilliumText25L" w:hAnsi="TitilliumText25L"/>
        </w:rPr>
        <w:t>nitoring</w:t>
      </w:r>
      <w:r w:rsidR="002A1612" w:rsidRPr="00C169DB">
        <w:rPr>
          <w:rFonts w:ascii="TitilliumText25L" w:hAnsi="TitilliumText25L"/>
        </w:rPr>
        <w:t xml:space="preserve"> of </w:t>
      </w:r>
      <w:r w:rsidR="0020033D" w:rsidRPr="00C169DB">
        <w:rPr>
          <w:rFonts w:ascii="TitilliumText25L" w:hAnsi="TitilliumText25L"/>
        </w:rPr>
        <w:t xml:space="preserve">red </w:t>
      </w:r>
      <w:r w:rsidR="002A1612" w:rsidRPr="00C169DB">
        <w:rPr>
          <w:rFonts w:ascii="TitilliumText25L" w:hAnsi="TitilliumText25L"/>
        </w:rPr>
        <w:t xml:space="preserve">blood </w:t>
      </w:r>
      <w:r w:rsidR="0020033D" w:rsidRPr="00C169DB">
        <w:rPr>
          <w:rFonts w:ascii="TitilliumText25L" w:hAnsi="TitilliumText25L"/>
        </w:rPr>
        <w:t xml:space="preserve">cell </w:t>
      </w:r>
      <w:r w:rsidR="002A1612" w:rsidRPr="00C169DB">
        <w:rPr>
          <w:rFonts w:ascii="TitilliumText25L" w:hAnsi="TitilliumText25L"/>
        </w:rPr>
        <w:t>transfusions</w:t>
      </w:r>
      <w:r w:rsidR="00E64D46" w:rsidRPr="00C169DB">
        <w:rPr>
          <w:rFonts w:ascii="TitilliumText25L" w:hAnsi="TitilliumText25L"/>
        </w:rPr>
        <w:t>.</w:t>
      </w:r>
    </w:p>
    <w:p w:rsidR="00933C78" w:rsidRDefault="0093498D" w:rsidP="00D34CAB">
      <w:pPr>
        <w:pStyle w:val="ListParagraph"/>
        <w:numPr>
          <w:ilvl w:val="0"/>
          <w:numId w:val="4"/>
        </w:numPr>
        <w:spacing w:after="120"/>
        <w:ind w:left="357" w:hanging="357"/>
        <w:rPr>
          <w:rFonts w:ascii="TitilliumText25L" w:hAnsi="TitilliumText25L"/>
        </w:rPr>
      </w:pPr>
      <w:r w:rsidRPr="00C169DB">
        <w:rPr>
          <w:rFonts w:ascii="TitilliumText25L" w:hAnsi="TitilliumText25L"/>
        </w:rPr>
        <w:t xml:space="preserve">Laboratory staff </w:t>
      </w:r>
      <w:r w:rsidR="006C5E84" w:rsidRPr="00C169DB">
        <w:rPr>
          <w:rFonts w:ascii="TitilliumText25L" w:hAnsi="TitilliumText25L"/>
        </w:rPr>
        <w:t>monitoring</w:t>
      </w:r>
      <w:r w:rsidR="00E64D46" w:rsidRPr="00C169DB">
        <w:rPr>
          <w:rFonts w:ascii="TitilliumText25L" w:hAnsi="TitilliumText25L"/>
        </w:rPr>
        <w:t xml:space="preserve"> transfusion policies.</w:t>
      </w:r>
    </w:p>
    <w:p w:rsidR="00435D8B" w:rsidRPr="00435D8B" w:rsidRDefault="00435D8B" w:rsidP="00435D8B">
      <w:pPr>
        <w:spacing w:after="120"/>
        <w:rPr>
          <w:rFonts w:ascii="TitilliumText25L" w:hAnsi="TitilliumText25L"/>
        </w:rPr>
      </w:pPr>
    </w:p>
    <w:p w:rsidR="00435D8B" w:rsidRDefault="00435D8B">
      <w:pPr>
        <w:rPr>
          <w:rFonts w:ascii="TitilliumText25L" w:hAnsi="TitilliumText25L" w:cs="Arial"/>
          <w:sz w:val="36"/>
          <w:szCs w:val="36"/>
        </w:rPr>
      </w:pPr>
      <w:r>
        <w:rPr>
          <w:rFonts w:ascii="TitilliumText25L" w:hAnsi="TitilliumText25L"/>
        </w:rPr>
        <w:br w:type="page"/>
      </w:r>
    </w:p>
    <w:p w:rsidR="00EA1792" w:rsidRPr="00C169DB" w:rsidRDefault="00933C78" w:rsidP="009325F7">
      <w:pPr>
        <w:pStyle w:val="Heading2"/>
        <w:spacing w:before="240" w:line="276" w:lineRule="auto"/>
        <w:rPr>
          <w:rFonts w:ascii="TitilliumText25L" w:hAnsi="TitilliumText25L"/>
        </w:rPr>
      </w:pPr>
      <w:bookmarkStart w:id="4" w:name="_Toc390423654"/>
      <w:r w:rsidRPr="00C169DB">
        <w:rPr>
          <w:rFonts w:ascii="TitilliumText25L" w:hAnsi="TitilliumText25L"/>
        </w:rPr>
        <w:t>Key Principles:</w:t>
      </w:r>
      <w:bookmarkEnd w:id="4"/>
    </w:p>
    <w:p w:rsidR="00C479DB" w:rsidRPr="00C169DB" w:rsidRDefault="00C479DB" w:rsidP="00BC0A0B">
      <w:pPr>
        <w:spacing w:after="120"/>
        <w:rPr>
          <w:rFonts w:ascii="TitilliumText25L" w:hAnsi="TitilliumText25L"/>
          <w:lang w:val="en-GB"/>
        </w:rPr>
      </w:pPr>
      <w:r w:rsidRPr="00C169DB">
        <w:rPr>
          <w:rFonts w:ascii="TitilliumText25L" w:hAnsi="TitilliumText25L"/>
          <w:lang w:val="en-GB"/>
        </w:rPr>
        <w:t xml:space="preserve">Informed consent must be obtained </w:t>
      </w:r>
      <w:r w:rsidR="005A57FD" w:rsidRPr="00C169DB">
        <w:rPr>
          <w:rFonts w:ascii="TitilliumText25L" w:hAnsi="TitilliumText25L"/>
          <w:lang w:val="en-GB"/>
        </w:rPr>
        <w:t xml:space="preserve">from </w:t>
      </w:r>
      <w:r w:rsidRPr="00C169DB">
        <w:rPr>
          <w:rFonts w:ascii="TitilliumText25L" w:hAnsi="TitilliumText25L"/>
          <w:lang w:val="en-GB"/>
        </w:rPr>
        <w:t xml:space="preserve">the patient or responsible person/guardian. </w:t>
      </w:r>
    </w:p>
    <w:p w:rsidR="00686A05" w:rsidRPr="00C169DB" w:rsidRDefault="00686A05" w:rsidP="00BC0A0B">
      <w:pPr>
        <w:spacing w:after="120"/>
        <w:rPr>
          <w:rFonts w:ascii="TitilliumText25L" w:hAnsi="TitilliumText25L"/>
        </w:rPr>
      </w:pPr>
      <w:r w:rsidRPr="00C169DB">
        <w:rPr>
          <w:rFonts w:ascii="TitilliumText25L" w:hAnsi="TitilliumText25L"/>
        </w:rPr>
        <w:t xml:space="preserve">Ensure the safety and efficacy of </w:t>
      </w:r>
      <w:r w:rsidR="00784DFF" w:rsidRPr="00C169DB">
        <w:rPr>
          <w:rFonts w:ascii="TitilliumText25L" w:hAnsi="TitilliumText25L"/>
        </w:rPr>
        <w:t xml:space="preserve">red </w:t>
      </w:r>
      <w:r w:rsidRPr="00C169DB">
        <w:rPr>
          <w:rFonts w:ascii="TitilliumText25L" w:hAnsi="TitilliumText25L"/>
        </w:rPr>
        <w:t>blood</w:t>
      </w:r>
      <w:r w:rsidR="00784DFF" w:rsidRPr="00C169DB">
        <w:rPr>
          <w:rFonts w:ascii="TitilliumText25L" w:hAnsi="TitilliumText25L"/>
        </w:rPr>
        <w:t xml:space="preserve"> cell</w:t>
      </w:r>
      <w:r w:rsidRPr="00C169DB">
        <w:rPr>
          <w:rFonts w:ascii="TitilliumText25L" w:hAnsi="TitilliumText25L"/>
        </w:rPr>
        <w:t xml:space="preserve"> transfusion by confirming every unit transfused is a clinical decision where the expected benefit outweighs the risks.</w:t>
      </w:r>
    </w:p>
    <w:p w:rsidR="00BC19FA" w:rsidRDefault="007C3A93" w:rsidP="00BC0A0B">
      <w:pPr>
        <w:spacing w:after="120"/>
        <w:rPr>
          <w:rFonts w:ascii="TitilliumText25L" w:hAnsi="TitilliumText25L"/>
          <w:lang w:val="en-GB"/>
        </w:rPr>
      </w:pPr>
      <w:r w:rsidRPr="00C169DB">
        <w:rPr>
          <w:rFonts w:ascii="TitilliumText25L" w:hAnsi="TitilliumText25L"/>
          <w:lang w:val="en-GB"/>
        </w:rPr>
        <w:t>Each red blood cell transfusion should be an independent clinical decision based on the risk, benefits and alternatives. Where indicated, transfus</w:t>
      </w:r>
      <w:r w:rsidR="0014136E" w:rsidRPr="00C169DB">
        <w:rPr>
          <w:rFonts w:ascii="TitilliumText25L" w:hAnsi="TitilliumText25L"/>
          <w:lang w:val="en-GB"/>
        </w:rPr>
        <w:t>e</w:t>
      </w:r>
      <w:r w:rsidRPr="00C169DB">
        <w:rPr>
          <w:rFonts w:ascii="TitilliumText25L" w:hAnsi="TitilliumText25L"/>
          <w:lang w:val="en-GB"/>
        </w:rPr>
        <w:t xml:space="preserve"> a single unit of </w:t>
      </w:r>
      <w:r w:rsidR="0014136E" w:rsidRPr="00C169DB">
        <w:rPr>
          <w:rFonts w:ascii="TitilliumText25L" w:hAnsi="TitilliumText25L"/>
          <w:lang w:val="en-GB"/>
        </w:rPr>
        <w:t>red blood cells</w:t>
      </w:r>
      <w:r w:rsidRPr="00C169DB">
        <w:rPr>
          <w:rFonts w:ascii="TitilliumText25L" w:hAnsi="TitilliumText25L"/>
          <w:lang w:val="en-GB"/>
        </w:rPr>
        <w:t xml:space="preserve">, </w:t>
      </w:r>
      <w:r w:rsidR="0014136E" w:rsidRPr="00C169DB">
        <w:rPr>
          <w:rFonts w:ascii="TitilliumText25L" w:hAnsi="TitilliumText25L"/>
          <w:lang w:val="en-GB"/>
        </w:rPr>
        <w:t>then clinically reassess the patient</w:t>
      </w:r>
      <w:r w:rsidRPr="00C169DB">
        <w:rPr>
          <w:rFonts w:ascii="TitilliumText25L" w:hAnsi="TitilliumText25L"/>
          <w:lang w:val="en-GB"/>
        </w:rPr>
        <w:t xml:space="preserve"> to determine </w:t>
      </w:r>
      <w:r w:rsidR="0014136E" w:rsidRPr="00C169DB">
        <w:rPr>
          <w:rFonts w:ascii="TitilliumText25L" w:hAnsi="TitilliumText25L"/>
          <w:lang w:val="en-GB"/>
        </w:rPr>
        <w:t xml:space="preserve">if </w:t>
      </w:r>
      <w:r w:rsidRPr="00C169DB">
        <w:rPr>
          <w:rFonts w:ascii="TitilliumText25L" w:hAnsi="TitilliumText25L"/>
          <w:lang w:val="en-GB"/>
        </w:rPr>
        <w:t>further transfusion</w:t>
      </w:r>
      <w:r w:rsidR="0014136E" w:rsidRPr="00C169DB">
        <w:rPr>
          <w:rFonts w:ascii="TitilliumText25L" w:hAnsi="TitilliumText25L"/>
          <w:lang w:val="en-GB"/>
        </w:rPr>
        <w:t xml:space="preserve"> is required</w:t>
      </w:r>
      <w:r w:rsidRPr="00C169DB">
        <w:rPr>
          <w:rFonts w:ascii="TitilliumText25L" w:hAnsi="TitilliumText25L"/>
          <w:lang w:val="en-GB"/>
        </w:rPr>
        <w:t xml:space="preserve">. Transfusion should not be based on haemoglobin level alone but should also </w:t>
      </w:r>
      <w:r w:rsidR="005A57FD" w:rsidRPr="00C169DB">
        <w:rPr>
          <w:rFonts w:ascii="TitilliumText25L" w:hAnsi="TitilliumText25L"/>
          <w:lang w:val="en-GB"/>
        </w:rPr>
        <w:t xml:space="preserve">be based </w:t>
      </w:r>
      <w:r w:rsidRPr="00C169DB">
        <w:rPr>
          <w:rFonts w:ascii="TitilliumText25L" w:hAnsi="TitilliumText25L"/>
          <w:lang w:val="en-GB"/>
        </w:rPr>
        <w:t>on assessment of the patient’s clinical status.</w:t>
      </w:r>
      <w:r w:rsidR="00C2091E"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"&lt;sup&gt;1,3&lt;/sup&gt;" }, "properties" : { "noteIndex" : 0 }, "schema" : "https://github.com/citation-style-language/schema/raw/master/csl-citation.json" }</w:instrText>
      </w:r>
      <w:r w:rsidR="00C2091E"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1,3</w:t>
      </w:r>
      <w:r w:rsidR="00C2091E" w:rsidRPr="00C169DB">
        <w:rPr>
          <w:rFonts w:ascii="TitilliumText25L" w:hAnsi="TitilliumText25L"/>
          <w:lang w:val="en-GB"/>
        </w:rPr>
        <w:fldChar w:fldCharType="end"/>
      </w:r>
      <w:r w:rsidRPr="00C169DB">
        <w:rPr>
          <w:rFonts w:ascii="TitilliumText25L" w:hAnsi="TitilliumText25L"/>
          <w:lang w:val="en-GB"/>
        </w:rPr>
        <w:t xml:space="preserve"> </w:t>
      </w:r>
      <w:r w:rsidR="00C2091E" w:rsidRPr="00C169DB">
        <w:rPr>
          <w:rFonts w:ascii="TitilliumText25L" w:hAnsi="TitilliumText25L"/>
          <w:lang w:val="en-GB"/>
        </w:rPr>
        <w:t xml:space="preserve">For haemoglobin thresholds refer to </w:t>
      </w:r>
      <w:r w:rsidRPr="00C169DB">
        <w:rPr>
          <w:rFonts w:ascii="TitilliumText25L" w:hAnsi="TitilliumText25L"/>
          <w:lang w:val="en-GB"/>
        </w:rPr>
        <w:t xml:space="preserve">the national Patient Blood Management Guidelines, </w:t>
      </w:r>
      <w:r w:rsidR="00C2091E" w:rsidRPr="00C169DB">
        <w:rPr>
          <w:rFonts w:ascii="TitilliumText25L" w:hAnsi="TitilliumText25L"/>
          <w:lang w:val="en-GB"/>
        </w:rPr>
        <w:t>Module 3 – Medical practice point 3 (PP3) and Module 4 – Critical Care practice point 4 (PP4).</w:t>
      </w:r>
      <w:r w:rsidRPr="00C169DB">
        <w:rPr>
          <w:rFonts w:ascii="TitilliumText25L" w:hAnsi="TitilliumText25L"/>
          <w:lang w:val="en-GB"/>
        </w:rPr>
        <w:t xml:space="preserve"> </w:t>
      </w:r>
    </w:p>
    <w:p w:rsidR="007C3A93" w:rsidRDefault="00A96BA7" w:rsidP="0093461B">
      <w:pPr>
        <w:spacing w:after="120"/>
        <w:ind w:left="720" w:firstLine="720"/>
        <w:rPr>
          <w:rFonts w:ascii="TitilliumText25L" w:hAnsi="TitilliumText25L"/>
          <w:lang w:val="en-GB"/>
        </w:rPr>
      </w:pPr>
      <w:r w:rsidRPr="00C23EF1">
        <w:rPr>
          <w:noProof/>
          <w:sz w:val="20"/>
          <w:szCs w:val="20"/>
          <w:lang w:eastAsia="en-AU"/>
        </w:rPr>
        <w:drawing>
          <wp:inline distT="0" distB="0" distL="0" distR="0" wp14:anchorId="19EE53B0" wp14:editId="670D35B1">
            <wp:extent cx="1072661" cy="1556238"/>
            <wp:effectExtent l="0" t="0" r="0" b="6350"/>
            <wp:docPr id="19" name="Picture 19" descr="http://www.blood.gov.au/sites/default/files/pbm-mod-2-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lood.gov.au/sites/default/files/pbm-mod-2-cov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9599" cy="1551795"/>
                    </a:xfrm>
                    <a:prstGeom prst="rect">
                      <a:avLst/>
                    </a:prstGeom>
                    <a:noFill/>
                    <a:ln>
                      <a:noFill/>
                    </a:ln>
                  </pic:spPr>
                </pic:pic>
              </a:graphicData>
            </a:graphic>
          </wp:inline>
        </w:drawing>
      </w:r>
      <w:r w:rsidR="00466BB8">
        <w:rPr>
          <w:rFonts w:ascii="TitilliumText25L" w:hAnsi="TitilliumText25L"/>
          <w:lang w:val="en-GB"/>
        </w:rPr>
        <w:t xml:space="preserve"> </w:t>
      </w:r>
      <w:r w:rsidR="0093461B">
        <w:rPr>
          <w:rFonts w:ascii="TitilliumText25L" w:hAnsi="TitilliumText25L"/>
          <w:lang w:val="en-GB"/>
        </w:rPr>
        <w:t xml:space="preserve"> </w:t>
      </w:r>
      <w:r w:rsidR="00466BB8">
        <w:rPr>
          <w:rFonts w:ascii="TitilliumText25L" w:hAnsi="TitilliumText25L"/>
          <w:lang w:val="en-GB"/>
        </w:rPr>
        <w:t xml:space="preserve">   </w:t>
      </w:r>
      <w:r w:rsidR="00466BB8" w:rsidRPr="00C23EF1">
        <w:rPr>
          <w:noProof/>
          <w:sz w:val="20"/>
          <w:szCs w:val="20"/>
          <w:lang w:eastAsia="en-AU"/>
        </w:rPr>
        <w:drawing>
          <wp:inline distT="0" distB="0" distL="0" distR="0" wp14:anchorId="00D1AE55" wp14:editId="07199CFE">
            <wp:extent cx="1090247" cy="1555502"/>
            <wp:effectExtent l="0" t="0" r="0" b="6985"/>
            <wp:docPr id="20" name="Picture 20" descr="http://www.blood.gov.au/sites/default/files/pbm-mod-3-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lood.gov.au/sites/default/files/pbm-mod-3-cov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592" cy="1563128"/>
                    </a:xfrm>
                    <a:prstGeom prst="rect">
                      <a:avLst/>
                    </a:prstGeom>
                    <a:noFill/>
                    <a:ln>
                      <a:noFill/>
                    </a:ln>
                  </pic:spPr>
                </pic:pic>
              </a:graphicData>
            </a:graphic>
          </wp:inline>
        </w:drawing>
      </w:r>
      <w:r w:rsidR="00466BB8">
        <w:rPr>
          <w:rFonts w:ascii="TitilliumText25L" w:hAnsi="TitilliumText25L"/>
          <w:lang w:val="en-GB"/>
        </w:rPr>
        <w:t xml:space="preserve">   </w:t>
      </w:r>
      <w:r w:rsidR="0093461B">
        <w:rPr>
          <w:rFonts w:ascii="TitilliumText25L" w:hAnsi="TitilliumText25L"/>
          <w:lang w:val="en-GB"/>
        </w:rPr>
        <w:t xml:space="preserve"> </w:t>
      </w:r>
      <w:r w:rsidR="00466BB8">
        <w:rPr>
          <w:rFonts w:ascii="TitilliumText25L" w:hAnsi="TitilliumText25L"/>
          <w:lang w:val="en-GB"/>
        </w:rPr>
        <w:t xml:space="preserve"> </w:t>
      </w:r>
      <w:r w:rsidR="00466BB8" w:rsidRPr="00C23EF1">
        <w:rPr>
          <w:noProof/>
          <w:color w:val="C05504"/>
          <w:sz w:val="20"/>
          <w:szCs w:val="20"/>
          <w:lang w:eastAsia="en-AU"/>
        </w:rPr>
        <w:drawing>
          <wp:inline distT="0" distB="0" distL="0" distR="0" wp14:anchorId="7CA872E5" wp14:editId="654CB07D">
            <wp:extent cx="1081454" cy="1556237"/>
            <wp:effectExtent l="0" t="0" r="4445" b="6350"/>
            <wp:docPr id="13" name="Picture 13" descr="http://www.blood.gov.au/sites/default/files/pbm-mod-4-cov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lood.gov.au/sites/default/files/pbm-mod-4-cover.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251" cy="1564579"/>
                    </a:xfrm>
                    <a:prstGeom prst="rect">
                      <a:avLst/>
                    </a:prstGeom>
                    <a:noFill/>
                    <a:ln>
                      <a:noFill/>
                    </a:ln>
                  </pic:spPr>
                </pic:pic>
              </a:graphicData>
            </a:graphic>
          </wp:inline>
        </w:drawing>
      </w:r>
    </w:p>
    <w:p w:rsidR="00E1670C" w:rsidRPr="00C169DB" w:rsidRDefault="00933C78" w:rsidP="00466BB8">
      <w:pPr>
        <w:spacing w:after="120"/>
        <w:rPr>
          <w:rFonts w:ascii="TitilliumText25L" w:hAnsi="TitilliumText25L"/>
          <w:lang w:val="en-GB"/>
        </w:rPr>
      </w:pPr>
      <w:r w:rsidRPr="00C169DB">
        <w:rPr>
          <w:rFonts w:ascii="TitilliumText25L" w:hAnsi="TitilliumText25L"/>
          <w:lang w:val="en-GB"/>
        </w:rPr>
        <w:t xml:space="preserve">Transfuse one unit at a time and </w:t>
      </w:r>
      <w:r w:rsidR="00173758" w:rsidRPr="00C169DB">
        <w:rPr>
          <w:rFonts w:ascii="TitilliumText25L" w:hAnsi="TitilliumText25L"/>
          <w:lang w:val="en-GB"/>
        </w:rPr>
        <w:t xml:space="preserve">only when clinically indicated, </w:t>
      </w:r>
      <w:r w:rsidR="0020033D" w:rsidRPr="00C169DB">
        <w:rPr>
          <w:rFonts w:ascii="TitilliumText25L" w:hAnsi="TitilliumText25L"/>
          <w:lang w:val="en-GB"/>
        </w:rPr>
        <w:t>based on the need to relieve clinical signs and symptoms of  anaemia</w:t>
      </w:r>
      <w:r w:rsidR="00C479DB" w:rsidRPr="00C169DB">
        <w:rPr>
          <w:rFonts w:ascii="TitilliumText25L" w:hAnsi="TitilliumText25L"/>
          <w:lang w:val="en-GB"/>
        </w:rPr>
        <w:t>.</w:t>
      </w:r>
      <w:r w:rsidR="00686A05"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"&lt;sup&gt;1,3&lt;/sup&gt;" }, "properties" : { "noteIndex" : 0 }, "schema" : "https://github.com/citation-style-language/schema/raw/master/csl-citation.json" }</w:instrText>
      </w:r>
      <w:r w:rsidR="00686A05"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1,3</w:t>
      </w:r>
      <w:r w:rsidR="00686A05" w:rsidRPr="00C169DB">
        <w:rPr>
          <w:rFonts w:ascii="TitilliumText25L" w:hAnsi="TitilliumText25L"/>
          <w:lang w:val="en-GB"/>
        </w:rPr>
        <w:fldChar w:fldCharType="end"/>
      </w:r>
      <w:r w:rsidR="00C479DB" w:rsidRPr="00C169DB">
        <w:rPr>
          <w:rFonts w:ascii="TitilliumText25L" w:hAnsi="TitilliumText25L"/>
          <w:lang w:val="en-GB"/>
        </w:rPr>
        <w:t xml:space="preserve"> </w:t>
      </w:r>
      <w:r w:rsidR="00E1670C" w:rsidRPr="00C169DB">
        <w:rPr>
          <w:rFonts w:ascii="TitilliumText25L" w:hAnsi="TitilliumText25L"/>
          <w:lang w:val="en-GB"/>
        </w:rPr>
        <w:t>Symptoms may include dyspnoea, tachycardia, chest pain, hypotension, increased heart rate and decreased oxygen saturation.</w:t>
      </w:r>
      <w:r w:rsidR="007D7B61"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"abstract" : "Although approximately 85 million units of red blood cells (RBCs) are transfused annually worldwide, transfusion practices vary widely. The AABB (formerly, the American Association of Blood Banks) developed this guideline to provide clinical recommendations about hemoglobin concentration thresholds and other clinical variables that trigger RBC transfusions in hemodynamically stable adults and children.", "author" : [ { "dropping-particle" : "", "family" : "Carson", "given" : "Jeffrey L", "non-dropping-particle" : "", "parse-names" : false, "suffix" : "" } ], "container-title" : "Annals of Internal Medicine", "id" : "ITEM-1", "issue" : "1", "issued" : { "date-parts" : [ [ "2012" ] ] }, "page" : "49-58", "title" : "Red blood cell transfusion: a clinical practice guideline from the AABB", "type" : "article-journal", "volume" : "157" }, "uris" : [ "http://www.mendeley.com/documents/?uuid=1f2a47bc-9d7f-4b77-bdbd-6028e884fabb" ] }, { "id" : "ITEM-2", "itemData" : { "author" : [ { "dropping-particle" : "", "family" : "Rossi", "given" : "E C", "non-dropping-particle" : "", "parse-names" : false, "suffix" : "" } ], "container-title" : "Principles of Transfusion Medicine, Second edition", "id" : "ITEM-2", "issued" : { "date-parts" : [ [ "1996" ] ] }, "title" : "Anaemia and Red cell Transfusion", "type" : "article-journal", "volume" : "1" }, "uris" : [ "http://www.mendeley.com/documents/?uuid=2e29d606-dc65-44eb-b3ba-44a2477d82c7" ] }, { "id" : "ITEM-3", "itemData" : { "author" : [ { "dropping-particle" : "", "family" : "Shander", "given" : "A", "non-dropping-particle" : "", "parse-names" : false, "suffix" : "" } ], "container-title" : "Review Blood Transfus", "id" : "ITEM-3", "issued" : { "date-parts" : [ [ "2012" ] ] }, "title" : "A new perspective on best transfusion practices", "type" : "article-journal", "volume" : "1" }, "uris" : [ "http://www.mendeley.com/documents/?uuid=6c8b828f-556c-41d9-b293-6f1ed9a0ad28" ] } ], "mendeley" : { "previouslyFormattedCitation" : "&lt;sup&gt;5\u20137&lt;/sup&gt;" }, "properties" : { "noteIndex" : 0 }, "schema" : "https://github.com/citation-style-language/schema/raw/master/csl-citation.json" }</w:instrText>
      </w:r>
      <w:r w:rsidR="007D7B61"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5–7</w:t>
      </w:r>
      <w:r w:rsidR="007D7B61" w:rsidRPr="00C169DB">
        <w:rPr>
          <w:rFonts w:ascii="TitilliumText25L" w:hAnsi="TitilliumText25L"/>
          <w:lang w:val="en-GB"/>
        </w:rPr>
        <w:fldChar w:fldCharType="end"/>
      </w:r>
    </w:p>
    <w:p w:rsidR="007C3A93" w:rsidRPr="00C169DB" w:rsidRDefault="00784DFF" w:rsidP="00BC0A0B">
      <w:pPr>
        <w:pStyle w:val="NoSpacing"/>
        <w:spacing w:after="120" w:line="276" w:lineRule="auto"/>
        <w:rPr>
          <w:rFonts w:ascii="TitilliumText25L" w:hAnsi="TitilliumText25L"/>
          <w:sz w:val="20"/>
          <w:lang w:val="en-GB"/>
        </w:rPr>
      </w:pPr>
      <w:r w:rsidRPr="00C169DB">
        <w:rPr>
          <w:rFonts w:ascii="TitilliumText25L" w:hAnsi="TitilliumText25L"/>
          <w:lang w:val="en-GB"/>
        </w:rPr>
        <w:t>Single unit red blood cell transfusion</w:t>
      </w:r>
      <w:r w:rsidR="00D95D04" w:rsidRPr="00C169DB">
        <w:rPr>
          <w:rFonts w:ascii="TitilliumText25L" w:hAnsi="TitilliumText25L"/>
          <w:lang w:val="en-GB"/>
        </w:rPr>
        <w:t xml:space="preserve"> reduce</w:t>
      </w:r>
      <w:r w:rsidRPr="00C169DB">
        <w:rPr>
          <w:rFonts w:ascii="TitilliumText25L" w:hAnsi="TitilliumText25L"/>
          <w:lang w:val="en-GB"/>
        </w:rPr>
        <w:t>s</w:t>
      </w:r>
      <w:r w:rsidR="00D95D04" w:rsidRPr="00C169DB">
        <w:rPr>
          <w:rFonts w:ascii="TitilliumText25L" w:hAnsi="TitilliumText25L"/>
          <w:lang w:val="en-GB"/>
        </w:rPr>
        <w:t xml:space="preserve"> </w:t>
      </w:r>
      <w:r w:rsidR="005A57FD" w:rsidRPr="00C169DB">
        <w:rPr>
          <w:rFonts w:ascii="TitilliumText25L" w:hAnsi="TitilliumText25L"/>
          <w:lang w:val="en-GB"/>
        </w:rPr>
        <w:t xml:space="preserve">the </w:t>
      </w:r>
      <w:r w:rsidR="00D95D04" w:rsidRPr="00C169DB">
        <w:rPr>
          <w:rFonts w:ascii="TitilliumText25L" w:hAnsi="TitilliumText25L"/>
          <w:lang w:val="en-GB"/>
        </w:rPr>
        <w:t>patient</w:t>
      </w:r>
      <w:r w:rsidR="005A57FD" w:rsidRPr="00C169DB">
        <w:rPr>
          <w:rFonts w:ascii="TitilliumText25L" w:hAnsi="TitilliumText25L"/>
          <w:lang w:val="en-GB"/>
        </w:rPr>
        <w:t xml:space="preserve">’s </w:t>
      </w:r>
      <w:r w:rsidR="00D95D04" w:rsidRPr="00C169DB">
        <w:rPr>
          <w:rFonts w:ascii="TitilliumText25L" w:hAnsi="TitilliumText25L"/>
          <w:lang w:val="en-GB"/>
        </w:rPr>
        <w:t xml:space="preserve"> exposure to allogeneic blood</w:t>
      </w:r>
      <w:r w:rsidR="00C11A9F" w:rsidRPr="00C169DB">
        <w:rPr>
          <w:rFonts w:ascii="TitilliumText25L" w:hAnsi="TitilliumText25L"/>
          <w:lang w:val="en-GB"/>
        </w:rPr>
        <w:t>.</w:t>
      </w:r>
      <w:r w:rsidR="00D95D04"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"mendeley" : { "previouslyFormattedCitation" : "&lt;sup&gt;8,9&lt;/sup&gt;" }, "properties" : { "noteIndex" : 0 }, "schema" : "https://github.com/citation-style-language/schema/raw/master/csl-citation.json" }</w:instrText>
      </w:r>
      <w:r w:rsidR="00D95D04"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8,9</w:t>
      </w:r>
      <w:r w:rsidR="00D95D04" w:rsidRPr="00C169DB">
        <w:rPr>
          <w:rFonts w:ascii="TitilliumText25L" w:hAnsi="TitilliumText25L"/>
          <w:lang w:val="en-GB"/>
        </w:rPr>
        <w:fldChar w:fldCharType="end"/>
      </w:r>
      <w:r w:rsidR="00D95D04" w:rsidRPr="00C169DB">
        <w:rPr>
          <w:rFonts w:ascii="TitilliumText25L" w:hAnsi="TitilliumText25L"/>
          <w:lang w:val="en-GB"/>
        </w:rPr>
        <w:t xml:space="preserve"> </w:t>
      </w:r>
    </w:p>
    <w:p w:rsidR="006C5E84" w:rsidRPr="00C169DB" w:rsidRDefault="006C5E84" w:rsidP="00BC0A0B">
      <w:pPr>
        <w:spacing w:after="120"/>
        <w:rPr>
          <w:rFonts w:ascii="TitilliumText25L" w:hAnsi="TitilliumText25L"/>
          <w:lang w:val="en-GB"/>
        </w:rPr>
      </w:pPr>
      <w:r w:rsidRPr="00C169DB">
        <w:rPr>
          <w:rFonts w:ascii="TitilliumText25L" w:hAnsi="TitilliumText25L"/>
          <w:lang w:val="en-GB"/>
        </w:rPr>
        <w:t>Transfusion is a live tissue transplant</w:t>
      </w:r>
      <w:r w:rsidR="007C3A93" w:rsidRPr="00C169DB">
        <w:rPr>
          <w:rFonts w:ascii="TitilliumText25L" w:hAnsi="TitilliumText25L"/>
          <w:lang w:val="en-GB"/>
        </w:rPr>
        <w:t xml:space="preserve"> and not without associated risks</w:t>
      </w:r>
      <w:r w:rsidR="00D95D04" w:rsidRPr="00C169DB">
        <w:rPr>
          <w:rFonts w:ascii="TitilliumText25L" w:hAnsi="TitilliumText25L"/>
          <w:lang w:val="en-GB"/>
        </w:rPr>
        <w:t>.</w:t>
      </w:r>
      <w:r w:rsidR="007C3A93" w:rsidRPr="00C169DB" w:rsidDel="007C3A93">
        <w:rPr>
          <w:rFonts w:ascii="TitilliumText25L" w:hAnsi="TitilliumText25L"/>
          <w:lang w:val="en-GB"/>
        </w:rPr>
        <w:t xml:space="preserve"> </w:t>
      </w:r>
    </w:p>
    <w:p w:rsidR="0093461B" w:rsidRDefault="00C2091E" w:rsidP="0093461B">
      <w:pPr>
        <w:spacing w:after="0"/>
        <w:ind w:right="-23"/>
        <w:rPr>
          <w:rFonts w:ascii="TitilliumText25L" w:hAnsi="TitilliumText25L"/>
          <w:lang w:val="en-GB"/>
        </w:rPr>
      </w:pPr>
      <w:r w:rsidRPr="00C169DB">
        <w:rPr>
          <w:rFonts w:ascii="TitilliumText25L" w:hAnsi="TitilliumText25L"/>
          <w:lang w:val="en-GB"/>
        </w:rPr>
        <w:t>Optimising patient tolerance of anaemia is one of the three pillars of patient blood</w:t>
      </w:r>
    </w:p>
    <w:p w:rsidR="00095F87" w:rsidRPr="00C169DB" w:rsidRDefault="00C2091E" w:rsidP="00BC0A0B">
      <w:pPr>
        <w:spacing w:after="120"/>
        <w:ind w:right="-23"/>
        <w:rPr>
          <w:rFonts w:ascii="TitilliumText25L" w:hAnsi="TitilliumText25L"/>
          <w:lang w:val="en-GB"/>
        </w:rPr>
      </w:pPr>
      <w:r w:rsidRPr="00C169DB">
        <w:rPr>
          <w:rFonts w:ascii="TitilliumText25L" w:hAnsi="TitilliumText25L"/>
          <w:lang w:val="en-GB"/>
        </w:rPr>
        <w:t>management.</w:t>
      </w:r>
      <w:r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"id" : "ITEM-3", "itemData" : { "author" : [ { "dropping-particle" : "", "family" : "National Blood Authority", "given" : "", "non-dropping-particle" : "", "parse-names" : false, "suffix" : "" } ], "id" : "ITEM-3",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"&lt;sup&gt;1\u20133&lt;/sup&gt;" }, "properties" : { "noteIndex" : 0 }, "schema" : "https://github.com/citation-style-language/schema/raw/master/csl-citation.json" }</w:instrText>
      </w:r>
      <w:r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1–3</w:t>
      </w:r>
      <w:r w:rsidRPr="00C169DB">
        <w:rPr>
          <w:rFonts w:ascii="TitilliumText25L" w:hAnsi="TitilliumText25L"/>
          <w:lang w:val="en-GB"/>
        </w:rPr>
        <w:fldChar w:fldCharType="end"/>
      </w:r>
    </w:p>
    <w:p w:rsidR="00255EBA" w:rsidRPr="00C169DB" w:rsidRDefault="00255EBA" w:rsidP="00BC0A0B">
      <w:pPr>
        <w:autoSpaceDE w:val="0"/>
        <w:autoSpaceDN w:val="0"/>
        <w:adjustRightInd w:val="0"/>
        <w:spacing w:after="120"/>
        <w:rPr>
          <w:rFonts w:ascii="TitilliumText25L" w:hAnsi="TitilliumText25L"/>
          <w:lang w:eastAsia="en-AU"/>
        </w:rPr>
      </w:pPr>
      <w:r w:rsidRPr="00C169DB">
        <w:rPr>
          <w:rFonts w:ascii="TitilliumText25L" w:hAnsi="TitilliumText25L"/>
          <w:lang w:eastAsia="en-AU"/>
        </w:rPr>
        <w:t>Consider early haematological advice about anaemia management.</w:t>
      </w:r>
    </w:p>
    <w:p w:rsidR="00D16EAB" w:rsidRPr="00C169DB" w:rsidRDefault="00D16EAB" w:rsidP="00D16EAB">
      <w:pPr>
        <w:autoSpaceDE w:val="0"/>
        <w:autoSpaceDN w:val="0"/>
        <w:adjustRightInd w:val="0"/>
        <w:spacing w:after="120"/>
        <w:ind w:left="357"/>
        <w:rPr>
          <w:rFonts w:ascii="TitilliumText25L" w:hAnsi="TitilliumText25L"/>
          <w:lang w:eastAsia="en-AU"/>
        </w:rPr>
      </w:pPr>
    </w:p>
    <w:p w:rsidR="00FC5712" w:rsidRPr="00C169DB" w:rsidRDefault="0093498D" w:rsidP="00CE20B2">
      <w:pPr>
        <w:rPr>
          <w:rFonts w:ascii="TitilliumText25L" w:hAnsi="TitilliumText25L"/>
          <w:sz w:val="36"/>
          <w:szCs w:val="36"/>
        </w:rPr>
      </w:pPr>
      <w:r w:rsidRPr="00C169DB">
        <w:rPr>
          <w:rFonts w:ascii="TitilliumText25L" w:hAnsi="TitilliumText25L"/>
          <w:sz w:val="36"/>
          <w:szCs w:val="36"/>
        </w:rPr>
        <w:t>Risks associated with transfusion are dose dependent</w:t>
      </w:r>
      <w:r w:rsidR="00E45206" w:rsidRPr="00C169DB">
        <w:rPr>
          <w:rFonts w:ascii="TitilliumText25L" w:hAnsi="TitilliumText25L"/>
          <w:sz w:val="36"/>
          <w:szCs w:val="36"/>
        </w:rPr>
        <w:t>:</w:t>
      </w:r>
      <w:r w:rsidR="007D7B61" w:rsidRPr="00C169DB">
        <w:rPr>
          <w:rFonts w:ascii="TitilliumText25L" w:hAnsi="TitilliumText25L"/>
          <w:sz w:val="36"/>
          <w:szCs w:val="36"/>
          <w:vertAlign w:val="superscript"/>
        </w:rPr>
        <w:fldChar w:fldCharType="begin" w:fldLock="1"/>
      </w:r>
      <w:r w:rsidR="00686A05" w:rsidRPr="00C169DB">
        <w:rPr>
          <w:rFonts w:ascii="TitilliumText25L" w:hAnsi="TitilliumText25L"/>
          <w:sz w:val="36"/>
          <w:szCs w:val="36"/>
          <w:vertAlign w:val="superscript"/>
        </w:rPr>
        <w:instrText>ADDIN CSL_CITATION { "citationItems" : [ { "id" : "ITEM-1", "itemData" : { "author" : [ { "dropping-particle" : "", "family" : "Koch CG  Duncan AI et al", "given" : "Li L", "non-dropping-particle" : "", "parse-names" : false, "suffix" : "" } ], "container-title" : "Crit Care Med 2006", "id" : "ITEM-1", "issue" : "34", "issued" : { "date-parts" : [ [ "2006" ] ] }, "page" : "1608-1616", "title" : "Morbidity and mortality risk associated with red blood cell and blood-component transfusion in isolated coronary artery bypass grafting.", "type" : "article-journal", "volume" : "34" }, "uris" : [ "http://www.mendeley.com/documents/?uuid=92a943f7-35b9-4e46-948d-e1033d47cc97" ] }, { "id" : "ITEM-2", "itemData" : { "author" : [ { "dropping-particle" : "", "family" : "Hajjar LA Vincent JL et al.", "given" : "", "non-dropping-particle" : "", "parse-names" : false, "suffix" : "" } ], "container-title" : "JAMA - Journal of the American Medical Association", "id" : "ITEM-2", "issue" : "304", "issued" : { "date-parts" : [ [ "0" ] ] }, "page" : "304:1559-1567", "title" : "Transfusion requirements after cardiac surgery: the TRACS randomised controlled trial.", "type" : "article-journal", "volume" : "304" }, "uris" : [ "http://www.mendeley.com/documents/?uuid=f204d20a-6164-4ae2-8c61-0482cc10f507" ] } ], "mendeley" : { "previouslyFormattedCitation" : "&lt;sup&gt;10,11&lt;/sup&gt;" }, "properties" : { "noteIndex" : 0 }, "schema" : "https://github.com/citation-style-language/schema/raw/master/csl-citation.json" }</w:instrText>
      </w:r>
      <w:r w:rsidR="007D7B61" w:rsidRPr="00C169DB">
        <w:rPr>
          <w:rFonts w:ascii="TitilliumText25L" w:hAnsi="TitilliumText25L"/>
          <w:sz w:val="36"/>
          <w:szCs w:val="36"/>
          <w:vertAlign w:val="superscript"/>
        </w:rPr>
        <w:fldChar w:fldCharType="separate"/>
      </w:r>
      <w:r w:rsidR="00686A05" w:rsidRPr="00C169DB">
        <w:rPr>
          <w:rFonts w:ascii="TitilliumText25L" w:hAnsi="TitilliumText25L"/>
          <w:sz w:val="36"/>
          <w:szCs w:val="36"/>
          <w:vertAlign w:val="superscript"/>
        </w:rPr>
        <w:t>10,11</w:t>
      </w:r>
      <w:r w:rsidR="007D7B61" w:rsidRPr="00C169DB">
        <w:rPr>
          <w:rFonts w:ascii="TitilliumText25L" w:hAnsi="TitilliumText25L"/>
          <w:sz w:val="36"/>
          <w:szCs w:val="36"/>
          <w:vertAlign w:val="superscript"/>
        </w:rPr>
        <w:fldChar w:fldCharType="end"/>
      </w:r>
    </w:p>
    <w:p w:rsidR="00B060FF" w:rsidRPr="00C169DB" w:rsidRDefault="007C3A93" w:rsidP="000373C8">
      <w:pPr>
        <w:spacing w:after="120"/>
        <w:rPr>
          <w:rFonts w:ascii="TitilliumText25L" w:hAnsi="TitilliumText25L"/>
        </w:rPr>
      </w:pPr>
      <w:r w:rsidRPr="00C169DB">
        <w:rPr>
          <w:rFonts w:ascii="TitilliumText25L" w:hAnsi="TitilliumText25L"/>
        </w:rPr>
        <w:t xml:space="preserve">Red blood cell transfusion </w:t>
      </w:r>
      <w:r w:rsidR="00F10048" w:rsidRPr="00C169DB">
        <w:rPr>
          <w:rFonts w:ascii="TitilliumText25L" w:hAnsi="TitilliumText25L"/>
        </w:rPr>
        <w:t xml:space="preserve">may be </w:t>
      </w:r>
      <w:r w:rsidRPr="00C169DB">
        <w:rPr>
          <w:rFonts w:ascii="TitilliumText25L" w:hAnsi="TitilliumText25L"/>
        </w:rPr>
        <w:t>associated with a dose-dependent increased risk of nosocomial infection and other morbidities</w:t>
      </w:r>
      <w:r w:rsidR="00B060FF" w:rsidRPr="00C169DB">
        <w:rPr>
          <w:rFonts w:ascii="TitilliumText25L" w:hAnsi="TitilliumText25L"/>
        </w:rPr>
        <w:t>.</w:t>
      </w:r>
      <w:r w:rsidR="00563002" w:rsidRPr="00C169DB">
        <w:rPr>
          <w:rFonts w:ascii="TitilliumText25L" w:hAnsi="TitilliumText25L"/>
          <w:vertAlign w:val="superscript"/>
        </w:rPr>
        <w:fldChar w:fldCharType="begin" w:fldLock="1"/>
      </w:r>
      <w:r w:rsidR="00686A05" w:rsidRPr="00C169DB">
        <w:rPr>
          <w:rFonts w:ascii="TitilliumText25L" w:hAnsi="TitilliumText25L"/>
          <w:vertAlign w:val="superscript"/>
        </w:rPr>
        <w:instrText>ADDIN CSL_CITATION { "citationItems" : [ { "id" : "ITEM-1", "itemData" : { "author" : [ { "dropping-particle" : "", "family" : "Koch CG  Duncan AI et al", "given" : "Li L", "non-dropping-particle" : "", "parse-names" : false, "suffix" : "" } ], "container-title" : "Crit Care Med 2006", "id" : "ITEM-1", "issue" : "34", "issued" : { "date-parts" : [ [ "2006" ] ] }, "page" : "1608-1616", "title" : "Morbidity and mortality risk associated with red blood cell and blood-component transfusion in isolated coronary artery bypass grafting.", "type" : "article-journal", "volume" : "34" }, "uris" : [ "http://www.mendeley.com/documents/?uuid=92a943f7-35b9-4e46-948d-e1033d47cc97" ] }, { "id" : "ITEM-2", "itemData" : { "author" : [ { "dropping-particle" : "", "family" : "Hajjar LA Vincent JL et al.", "given" : "", "non-dropping-particle" : "", "parse-names" : false, "suffix" : "" } ], "container-title" : "JAMA - Journal of the American Medical Association", "id" : "ITEM-2", "issue" : "304", "issued" : { "date-parts" : [ [ "0" ] ] }, "page" : "304:1559-1567", "title" : "Transfusion requirements after cardiac surgery: the TRACS randomised controlled trial.", "type" : "article-journal", "volume" : "304" }, "uris" : [ "http://www.mendeley.com/documents/?uuid=f204d20a-6164-4ae2-8c61-0482cc10f507" ] } ], "mendeley" : { "previouslyFormattedCitation" : "&lt;sup&gt;10,11&lt;/sup&gt;" }, "properties" : { "noteIndex" : 0 }, "schema" : "https://github.com/citation-style-language/schema/raw/master/csl-citation.json" }</w:instrText>
      </w:r>
      <w:r w:rsidR="00563002" w:rsidRPr="00C169DB">
        <w:rPr>
          <w:rFonts w:ascii="TitilliumText25L" w:hAnsi="TitilliumText25L"/>
          <w:vertAlign w:val="superscript"/>
        </w:rPr>
        <w:fldChar w:fldCharType="separate"/>
      </w:r>
      <w:r w:rsidR="00686A05" w:rsidRPr="00C169DB">
        <w:rPr>
          <w:rFonts w:ascii="TitilliumText25L" w:hAnsi="TitilliumText25L"/>
          <w:vertAlign w:val="superscript"/>
        </w:rPr>
        <w:t>10,11</w:t>
      </w:r>
      <w:r w:rsidR="00563002" w:rsidRPr="00C169DB">
        <w:rPr>
          <w:rFonts w:ascii="TitilliumText25L" w:hAnsi="TitilliumText25L"/>
          <w:vertAlign w:val="superscript"/>
        </w:rPr>
        <w:fldChar w:fldCharType="end"/>
      </w:r>
      <w:r w:rsidR="00E233B6" w:rsidRPr="00C169DB">
        <w:rPr>
          <w:rFonts w:ascii="TitilliumText25L" w:hAnsi="TitilliumText25L"/>
        </w:rPr>
        <w:t xml:space="preserve"> </w:t>
      </w:r>
      <w:r w:rsidR="00D5051E" w:rsidRPr="00C169DB">
        <w:rPr>
          <w:rFonts w:ascii="TitilliumText25L" w:hAnsi="TitilliumText25L"/>
        </w:rPr>
        <w:t>For further information on transfusion risks see Appendix B of the national Patient Blood Management Guidelines.</w:t>
      </w:r>
      <w:r w:rsidR="00D5051E" w:rsidRPr="00C169DB">
        <w:rPr>
          <w:rFonts w:ascii="TitilliumText25L" w:hAnsi="TitilliumText25L"/>
        </w:rPr>
        <w:fldChar w:fldCharType="begin" w:fldLock="1"/>
      </w:r>
      <w:r w:rsidR="00686A05"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"id" : "ITEM-3", "itemData" : { "author" : [ { "dropping-particle" : "", "family" : "National Blood Authority", "given" : "", "non-dropping-particle" : "", "parse-names" : false, "suffix" : "" } ], "id" : "ITEM-3",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"&lt;sup&gt;1\u20133&lt;/sup&gt;" }, "properties" : { "noteIndex" : 0 }, "schema" : "https://github.com/citation-style-language/schema/raw/master/csl-citation.json" }</w:instrText>
      </w:r>
      <w:r w:rsidR="00D5051E" w:rsidRPr="00C169DB">
        <w:rPr>
          <w:rFonts w:ascii="TitilliumText25L" w:hAnsi="TitilliumText25L"/>
        </w:rPr>
        <w:fldChar w:fldCharType="separate"/>
      </w:r>
      <w:r w:rsidR="00686A05" w:rsidRPr="00C169DB">
        <w:rPr>
          <w:rFonts w:ascii="TitilliumText25L" w:hAnsi="TitilliumText25L"/>
        </w:rPr>
        <w:t>1–3</w:t>
      </w:r>
      <w:r w:rsidR="00D5051E" w:rsidRPr="00C169DB">
        <w:rPr>
          <w:rFonts w:ascii="TitilliumText25L" w:hAnsi="TitilliumText25L"/>
        </w:rPr>
        <w:fldChar w:fldCharType="end"/>
      </w:r>
      <w:r w:rsidR="00D5051E" w:rsidRPr="00C169DB">
        <w:rPr>
          <w:rFonts w:ascii="TitilliumText25L" w:hAnsi="TitilliumText25L"/>
        </w:rPr>
        <w:t xml:space="preserve"> </w:t>
      </w:r>
    </w:p>
    <w:p w:rsidR="005E45D7" w:rsidRPr="00C169DB" w:rsidRDefault="007F1C74" w:rsidP="000373C8">
      <w:pPr>
        <w:spacing w:after="120"/>
        <w:rPr>
          <w:rFonts w:ascii="TitilliumText25L" w:hAnsi="TitilliumText25L"/>
        </w:rPr>
      </w:pPr>
      <w:r w:rsidRPr="00C169DB">
        <w:rPr>
          <w:rFonts w:ascii="TitilliumText25L" w:hAnsi="TitilliumText25L"/>
        </w:rPr>
        <w:t>If one unit ha</w:t>
      </w:r>
      <w:r w:rsidR="007D4570" w:rsidRPr="00C169DB">
        <w:rPr>
          <w:rFonts w:ascii="TitilliumText25L" w:hAnsi="TitilliumText25L"/>
        </w:rPr>
        <w:t>s</w:t>
      </w:r>
      <w:r w:rsidRPr="00C169DB">
        <w:rPr>
          <w:rFonts w:ascii="TitilliumText25L" w:hAnsi="TitilliumText25L"/>
        </w:rPr>
        <w:t xml:space="preserve"> achieved the stated outcome for the </w:t>
      </w:r>
      <w:r w:rsidR="0014136E" w:rsidRPr="00C169DB">
        <w:rPr>
          <w:rFonts w:ascii="TitilliumText25L" w:hAnsi="TitilliumText25L"/>
        </w:rPr>
        <w:t xml:space="preserve">red blood cell </w:t>
      </w:r>
      <w:r w:rsidRPr="00C169DB">
        <w:rPr>
          <w:rFonts w:ascii="TitilliumText25L" w:hAnsi="TitilliumText25L"/>
        </w:rPr>
        <w:t xml:space="preserve">transfusion, </w:t>
      </w:r>
      <w:r w:rsidR="002A1612" w:rsidRPr="00C169DB">
        <w:rPr>
          <w:rFonts w:ascii="TitilliumText25L" w:hAnsi="TitilliumText25L"/>
        </w:rPr>
        <w:t xml:space="preserve">for example improvement in </w:t>
      </w:r>
      <w:r w:rsidR="007C3A93" w:rsidRPr="00C169DB">
        <w:rPr>
          <w:rFonts w:ascii="TitilliumText25L" w:hAnsi="TitilliumText25L"/>
        </w:rPr>
        <w:t xml:space="preserve">clinical signs and </w:t>
      </w:r>
      <w:r w:rsidR="002A1612" w:rsidRPr="00C169DB">
        <w:rPr>
          <w:rFonts w:ascii="TitilliumText25L" w:hAnsi="TitilliumText25L"/>
        </w:rPr>
        <w:t>symptoms</w:t>
      </w:r>
      <w:r w:rsidR="007C3A93" w:rsidRPr="00C169DB">
        <w:rPr>
          <w:rFonts w:ascii="TitilliumText25L" w:hAnsi="TitilliumText25L"/>
        </w:rPr>
        <w:t xml:space="preserve"> of anaemia</w:t>
      </w:r>
      <w:r w:rsidR="002A1612" w:rsidRPr="00C169DB">
        <w:rPr>
          <w:rFonts w:ascii="TitilliumText25L" w:hAnsi="TitilliumText25L"/>
        </w:rPr>
        <w:t xml:space="preserve">, </w:t>
      </w:r>
      <w:r w:rsidRPr="00C169DB">
        <w:rPr>
          <w:rFonts w:ascii="TitilliumText25L" w:hAnsi="TitilliumText25L"/>
        </w:rPr>
        <w:t>further units will only increase the risks.</w:t>
      </w:r>
    </w:p>
    <w:p w:rsidR="00D16EAB" w:rsidRPr="00C169DB" w:rsidRDefault="00D16EAB">
      <w:pPr>
        <w:rPr>
          <w:rFonts w:ascii="TitilliumText25L" w:hAnsi="TitilliumText25L" w:cs="Arial"/>
          <w:sz w:val="36"/>
          <w:szCs w:val="36"/>
        </w:rPr>
      </w:pPr>
      <w:r w:rsidRPr="00C169DB">
        <w:rPr>
          <w:rFonts w:ascii="TitilliumText25L" w:hAnsi="TitilliumText25L"/>
        </w:rPr>
        <w:br w:type="page"/>
      </w:r>
    </w:p>
    <w:p w:rsidR="008F0513" w:rsidRPr="00C169DB" w:rsidRDefault="00F56185" w:rsidP="009325F7">
      <w:pPr>
        <w:pStyle w:val="Heading2"/>
        <w:spacing w:before="240" w:line="276" w:lineRule="auto"/>
        <w:rPr>
          <w:rFonts w:ascii="TitilliumText25L" w:hAnsi="TitilliumText25L"/>
        </w:rPr>
      </w:pPr>
      <w:bookmarkStart w:id="5" w:name="_Toc390423655"/>
      <w:r w:rsidRPr="00C169DB">
        <w:rPr>
          <w:rFonts w:ascii="TitilliumText25L" w:hAnsi="TitilliumText25L"/>
        </w:rPr>
        <w:t xml:space="preserve">What are the </w:t>
      </w:r>
      <w:r w:rsidR="00933C78" w:rsidRPr="00C169DB">
        <w:rPr>
          <w:rFonts w:ascii="TitilliumText25L" w:hAnsi="TitilliumText25L"/>
        </w:rPr>
        <w:t>indications for transfusion in patients who are not actively bleeding?</w:t>
      </w:r>
      <w:bookmarkEnd w:id="5"/>
    </w:p>
    <w:p w:rsidR="00451D63" w:rsidRPr="00C169DB" w:rsidRDefault="00451D63" w:rsidP="00363098">
      <w:pPr>
        <w:spacing w:after="240"/>
        <w:contextualSpacing/>
        <w:rPr>
          <w:rFonts w:ascii="TitilliumText25L" w:hAnsi="TitilliumText25L"/>
        </w:rPr>
      </w:pPr>
      <w:r w:rsidRPr="00C169DB">
        <w:rPr>
          <w:rFonts w:ascii="TitilliumText25L" w:hAnsi="TitilliumText25L"/>
        </w:rPr>
        <w:t xml:space="preserve">In accordance with the </w:t>
      </w:r>
      <w:r w:rsidR="0020033D" w:rsidRPr="00C169DB">
        <w:rPr>
          <w:rFonts w:ascii="TitilliumText25L" w:hAnsi="TitilliumText25L"/>
        </w:rPr>
        <w:t xml:space="preserve">national </w:t>
      </w:r>
      <w:r w:rsidRPr="00C169DB">
        <w:rPr>
          <w:rFonts w:ascii="TitilliumText25L" w:hAnsi="TitilliumText25L"/>
        </w:rPr>
        <w:t>Patient Blood Management Guidelines</w:t>
      </w:r>
      <w:r w:rsidR="00AC23F3" w:rsidRPr="00C169DB">
        <w:rPr>
          <w:rStyle w:val="FootnoteReference"/>
          <w:rFonts w:ascii="TitilliumText25L" w:hAnsi="TitilliumText25L"/>
        </w:rPr>
        <w:footnoteReference w:id="2"/>
      </w:r>
      <w:r w:rsidRPr="00C169DB">
        <w:rPr>
          <w:rFonts w:ascii="TitilliumText25L" w:hAnsi="TitilliumText25L"/>
        </w:rPr>
        <w:t>:</w:t>
      </w:r>
      <w:r w:rsidR="00563002" w:rsidRPr="00C169DB">
        <w:rPr>
          <w:rFonts w:ascii="TitilliumText25L" w:hAnsi="TitilliumText25L"/>
        </w:rPr>
        <w:fldChar w:fldCharType="begin" w:fldLock="1"/>
      </w:r>
      <w:r w:rsidR="00686A05"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"2012" ] ] }, "publisher-place" : "Canberra, Australia", "title" : "Patient blood management guidelines: Module 2 \u2013 Perioperative.", "type" : "book" }, "uris" : [ "http://www.mendeley.com/documents/?uuid=956cf09d-f9be-4289-a9d0-a6445424b170" ] }, { "id" : "ITEM-3", "itemData" : { "author" : [ { "dropping-particle" : "", "family" : "National Blood Authority", "given" : "", "non-dropping-particle" : "", "parse-names" : false, "suffix" : "" } ], "id" : "ITEM-3", "issued" : { "date-parts" : [ [ "2013" ] ] }, "publisher-place" : "Canberra, Australia", "title" : "Patient blood management guidelines: Module 4 \u2013 Critical Care", "type" : "book" }, "uris" : [ "http://www.mendeley.com/documents/?uuid=ea39fd74-ab5a-47df-93c5-ce717f8041eb" ] } ], "mendeley" : { "previouslyFormattedCitation" : "&lt;sup&gt;1\u20133&lt;/sup&gt;" }, "properties" : { "noteIndex" : 0 }, "schema" : "https://github.com/citation-style-language/schema/raw/master/csl-citation.json" }</w:instrText>
      </w:r>
      <w:r w:rsidR="00563002" w:rsidRPr="00C169DB">
        <w:rPr>
          <w:rFonts w:ascii="TitilliumText25L" w:hAnsi="TitilliumText25L"/>
        </w:rPr>
        <w:fldChar w:fldCharType="separate"/>
      </w:r>
      <w:r w:rsidR="00686A05" w:rsidRPr="00C169DB">
        <w:rPr>
          <w:rFonts w:ascii="TitilliumText25L" w:hAnsi="TitilliumText25L"/>
          <w:noProof/>
          <w:vertAlign w:val="superscript"/>
        </w:rPr>
        <w:t>1–3</w:t>
      </w:r>
      <w:r w:rsidR="00563002" w:rsidRPr="00C169DB">
        <w:rPr>
          <w:rFonts w:ascii="TitilliumText25L" w:hAnsi="TitilliumText25L"/>
        </w:rPr>
        <w:fldChar w:fldCharType="end"/>
      </w:r>
    </w:p>
    <w:p w:rsidR="00363098" w:rsidRPr="00C169DB" w:rsidRDefault="00363098" w:rsidP="00363098">
      <w:pPr>
        <w:spacing w:after="240"/>
        <w:contextualSpacing/>
        <w:rPr>
          <w:rFonts w:ascii="TitilliumText25L" w:hAnsi="TitilliumText25L"/>
        </w:rPr>
      </w:pPr>
    </w:p>
    <w:p w:rsidR="001D0E8C" w:rsidRPr="00C169DB" w:rsidRDefault="001D0E8C" w:rsidP="00267666">
      <w:pPr>
        <w:spacing w:after="0"/>
        <w:contextualSpacing/>
        <w:jc w:val="right"/>
        <w:rPr>
          <w:rFonts w:ascii="TitilliumText25L" w:hAnsi="TitilliumText25L"/>
          <w:vertAlign w:val="superscript"/>
        </w:rPr>
      </w:pPr>
      <w:r w:rsidRPr="00C169DB">
        <w:rPr>
          <w:rFonts w:ascii="TitilliumText25L" w:hAnsi="TitilliumText25L"/>
          <w:noProof/>
          <w:lang w:eastAsia="en-AU"/>
        </w:rPr>
        <w:drawing>
          <wp:inline distT="0" distB="0" distL="0" distR="0" wp14:anchorId="0E0FA9F0" wp14:editId="09F719B5">
            <wp:extent cx="5910138" cy="168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5635" cy="1691285"/>
                    </a:xfrm>
                    <a:prstGeom prst="rect">
                      <a:avLst/>
                    </a:prstGeom>
                  </pic:spPr>
                </pic:pic>
              </a:graphicData>
            </a:graphic>
          </wp:inline>
        </w:drawing>
      </w:r>
    </w:p>
    <w:p w:rsidR="00D5051E" w:rsidRPr="00C169DB" w:rsidRDefault="00A15602" w:rsidP="00A15602">
      <w:pPr>
        <w:tabs>
          <w:tab w:val="right" w:pos="9333"/>
        </w:tabs>
        <w:spacing w:after="0"/>
        <w:contextualSpacing/>
        <w:rPr>
          <w:rFonts w:ascii="TitilliumText25L" w:hAnsi="TitilliumText25L"/>
          <w:vertAlign w:val="superscript"/>
          <w:lang w:val="en-GB"/>
        </w:rPr>
      </w:pPr>
      <w:r w:rsidRPr="00C169DB">
        <w:rPr>
          <w:rFonts w:ascii="TitilliumText25L" w:hAnsi="TitilliumText25L"/>
          <w:vertAlign w:val="superscript"/>
        </w:rPr>
        <w:tab/>
      </w:r>
      <w:r w:rsidR="00D5051E" w:rsidRPr="00C169DB">
        <w:rPr>
          <w:rFonts w:ascii="TitilliumText25L" w:hAnsi="TitilliumText25L"/>
          <w:vertAlign w:val="superscript"/>
        </w:rPr>
        <w:t>Patient Blood Management Guidelines: Module 3 - Medical</w:t>
      </w:r>
      <w:r w:rsidR="00D5051E" w:rsidRPr="00C169DB">
        <w:rPr>
          <w:rFonts w:ascii="TitilliumText25L" w:hAnsi="TitilliumText25L"/>
          <w:vertAlign w:val="superscript"/>
        </w:rPr>
        <w:fldChar w:fldCharType="begin" w:fldLock="1"/>
      </w:r>
      <w:r w:rsidR="00686A05" w:rsidRPr="00C169DB">
        <w:rPr>
          <w:rFonts w:ascii="TitilliumText25L" w:hAnsi="TitilliumText25L"/>
          <w:vertAlign w:val="superscript"/>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"&lt;sup&gt;1&lt;/sup&gt;" }, "properties" : { "noteIndex" : 0 }, "schema" : "https://github.com/citation-style-language/schema/raw/master/csl-citation.json" }</w:instrText>
      </w:r>
      <w:r w:rsidR="00D5051E" w:rsidRPr="00C169DB">
        <w:rPr>
          <w:rFonts w:ascii="TitilliumText25L" w:hAnsi="TitilliumText25L"/>
          <w:vertAlign w:val="superscript"/>
        </w:rPr>
        <w:fldChar w:fldCharType="separate"/>
      </w:r>
      <w:r w:rsidR="00686A05" w:rsidRPr="00C169DB">
        <w:rPr>
          <w:rFonts w:ascii="TitilliumText25L" w:hAnsi="TitilliumText25L"/>
          <w:noProof/>
          <w:vertAlign w:val="superscript"/>
        </w:rPr>
        <w:t>1</w:t>
      </w:r>
      <w:r w:rsidR="00D5051E" w:rsidRPr="00C169DB">
        <w:rPr>
          <w:rFonts w:ascii="TitilliumText25L" w:hAnsi="TitilliumText25L"/>
          <w:vertAlign w:val="superscript"/>
          <w:lang w:val="en-GB"/>
        </w:rPr>
        <w:fldChar w:fldCharType="end"/>
      </w:r>
    </w:p>
    <w:p w:rsidR="00363098" w:rsidRPr="00C169DB" w:rsidRDefault="00363098" w:rsidP="00267666">
      <w:pPr>
        <w:spacing w:after="0"/>
        <w:contextualSpacing/>
        <w:jc w:val="right"/>
        <w:rPr>
          <w:rFonts w:ascii="TitilliumText25L" w:hAnsi="TitilliumText25L"/>
          <w:vertAlign w:val="superscript"/>
          <w:lang w:val="en-GB"/>
        </w:rPr>
      </w:pPr>
    </w:p>
    <w:p w:rsidR="001D0E8C" w:rsidRPr="00C169DB" w:rsidRDefault="001D0E8C" w:rsidP="00267666">
      <w:pPr>
        <w:spacing w:after="0"/>
        <w:contextualSpacing/>
        <w:jc w:val="right"/>
        <w:rPr>
          <w:rFonts w:ascii="TitilliumText25L" w:hAnsi="TitilliumText25L"/>
          <w:vertAlign w:val="superscript"/>
        </w:rPr>
      </w:pPr>
      <w:r w:rsidRPr="00C169DB">
        <w:rPr>
          <w:rFonts w:ascii="TitilliumText25L" w:hAnsi="TitilliumText25L"/>
          <w:noProof/>
          <w:lang w:eastAsia="en-AU"/>
        </w:rPr>
        <w:drawing>
          <wp:inline distT="0" distB="0" distL="0" distR="0" wp14:anchorId="67A1ED19" wp14:editId="4A11C8B3">
            <wp:extent cx="5913120" cy="173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06576" cy="1734149"/>
                    </a:xfrm>
                    <a:prstGeom prst="rect">
                      <a:avLst/>
                    </a:prstGeom>
                  </pic:spPr>
                </pic:pic>
              </a:graphicData>
            </a:graphic>
          </wp:inline>
        </w:drawing>
      </w:r>
    </w:p>
    <w:p w:rsidR="00D5051E" w:rsidRPr="00C169DB" w:rsidRDefault="00D5051E" w:rsidP="00267666">
      <w:pPr>
        <w:spacing w:after="0"/>
        <w:jc w:val="right"/>
        <w:rPr>
          <w:rFonts w:ascii="TitilliumText25L" w:hAnsi="TitilliumText25L"/>
          <w:vertAlign w:val="superscript"/>
          <w:lang w:val="en-GB"/>
        </w:rPr>
      </w:pPr>
      <w:r w:rsidRPr="00C169DB" w:rsidDel="00A32D31">
        <w:rPr>
          <w:rFonts w:ascii="TitilliumText25L" w:hAnsi="TitilliumText25L"/>
          <w:vertAlign w:val="superscript"/>
        </w:rPr>
        <w:t xml:space="preserve"> </w:t>
      </w:r>
      <w:r w:rsidRPr="00C169DB">
        <w:rPr>
          <w:rFonts w:ascii="TitilliumText25L" w:hAnsi="TitilliumText25L"/>
          <w:vertAlign w:val="superscript"/>
        </w:rPr>
        <w:t>Patient Blood Management Guidelines: Module 4 – Critical Care</w:t>
      </w:r>
      <w:r w:rsidRPr="00C169DB">
        <w:rPr>
          <w:rFonts w:ascii="TitilliumText25L" w:hAnsi="TitilliumText25L"/>
          <w:vertAlign w:val="superscript"/>
        </w:rPr>
        <w:fldChar w:fldCharType="begin" w:fldLock="1"/>
      </w:r>
      <w:r w:rsidR="00686A05" w:rsidRPr="00C169DB">
        <w:rPr>
          <w:rFonts w:ascii="TitilliumText25L" w:hAnsi="TitilliumText25L"/>
          <w:vertAlign w:val="superscript"/>
        </w:rPr>
        <w:instrText>ADDIN CSL_CITATION { "citationItems" : [ { "id" : "ITEM-1", "itemData" : { "author" : [ { "dropping-particle" : "", "family" : "National Blood Authority", "given" : "", "non-dropping-particle" : "", "parse-names" : false, "suffix" : "" } ], "id" : "ITEM-1", "issued" : { "date-parts" : [ [ "2013" ] ] }, "publisher-place" : "Canberra, Australia", "title" : "Patient blood management guidelines: Module 4 \u2013 Critical Care", "type" : "book" }, "uris" : [ "http://www.mendeley.com/documents/?uuid=ea39fd74-ab5a-47df-93c5-ce717f8041eb" ] } ], "mendeley" : { "previouslyFormattedCitation" : "&lt;sup&gt;3&lt;/sup&gt;" }, "properties" : { "noteIndex" : 0 }, "schema" : "https://github.com/citation-style-language/schema/raw/master/csl-citation.json" }</w:instrText>
      </w:r>
      <w:r w:rsidRPr="00C169DB">
        <w:rPr>
          <w:rFonts w:ascii="TitilliumText25L" w:hAnsi="TitilliumText25L"/>
          <w:vertAlign w:val="superscript"/>
        </w:rPr>
        <w:fldChar w:fldCharType="separate"/>
      </w:r>
      <w:r w:rsidR="00686A05" w:rsidRPr="00C169DB">
        <w:rPr>
          <w:rFonts w:ascii="TitilliumText25L" w:hAnsi="TitilliumText25L"/>
          <w:noProof/>
          <w:vertAlign w:val="superscript"/>
        </w:rPr>
        <w:t>3</w:t>
      </w:r>
      <w:r w:rsidRPr="00C169DB">
        <w:rPr>
          <w:rFonts w:ascii="TitilliumText25L" w:hAnsi="TitilliumText25L"/>
          <w:vertAlign w:val="superscript"/>
          <w:lang w:val="en-GB"/>
        </w:rPr>
        <w:fldChar w:fldCharType="end"/>
      </w:r>
    </w:p>
    <w:p w:rsidR="00363098" w:rsidRPr="00C169DB" w:rsidRDefault="00A15602" w:rsidP="00A15602">
      <w:pPr>
        <w:tabs>
          <w:tab w:val="left" w:pos="204"/>
        </w:tabs>
        <w:spacing w:after="0"/>
        <w:rPr>
          <w:rFonts w:ascii="TitilliumText25L" w:hAnsi="TitilliumText25L"/>
          <w:vertAlign w:val="superscript"/>
          <w:lang w:val="en-GB"/>
        </w:rPr>
      </w:pPr>
      <w:r w:rsidRPr="00C169DB">
        <w:rPr>
          <w:rFonts w:ascii="TitilliumText25L" w:hAnsi="TitilliumText25L"/>
          <w:vertAlign w:val="superscript"/>
          <w:lang w:val="en-GB"/>
        </w:rPr>
        <w:tab/>
      </w:r>
      <w:r w:rsidRPr="00C169DB">
        <w:rPr>
          <w:noProof/>
          <w:lang w:eastAsia="en-AU"/>
        </w:rPr>
        <w:drawing>
          <wp:inline distT="0" distB="0" distL="0" distR="0" wp14:anchorId="274D5518" wp14:editId="5CC639EE">
            <wp:extent cx="5926455" cy="120998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26455" cy="1209985"/>
                    </a:xfrm>
                    <a:prstGeom prst="rect">
                      <a:avLst/>
                    </a:prstGeom>
                  </pic:spPr>
                </pic:pic>
              </a:graphicData>
            </a:graphic>
          </wp:inline>
        </w:drawing>
      </w:r>
    </w:p>
    <w:p w:rsidR="00782681" w:rsidRPr="00C169DB" w:rsidRDefault="00D5051E" w:rsidP="008C4E39">
      <w:pPr>
        <w:spacing w:after="0"/>
        <w:ind w:left="142" w:hanging="142"/>
        <w:contextualSpacing/>
        <w:jc w:val="right"/>
        <w:rPr>
          <w:rFonts w:ascii="TitilliumText25L" w:hAnsi="TitilliumText25L"/>
          <w:vertAlign w:val="superscript"/>
          <w:lang w:val="en-GB"/>
        </w:rPr>
      </w:pPr>
      <w:r w:rsidRPr="00C169DB">
        <w:rPr>
          <w:rFonts w:ascii="TitilliumText25L" w:hAnsi="TitilliumText25L"/>
          <w:vertAlign w:val="superscript"/>
        </w:rPr>
        <w:t>Patient Blood Management Guidelines: Module 2 - Perioperative</w:t>
      </w:r>
      <w:r w:rsidRPr="00C169DB">
        <w:rPr>
          <w:rFonts w:ascii="TitilliumText25L" w:hAnsi="TitilliumText25L"/>
          <w:vertAlign w:val="superscript"/>
        </w:rPr>
        <w:fldChar w:fldCharType="begin" w:fldLock="1"/>
      </w:r>
      <w:r w:rsidR="00686A05" w:rsidRPr="00C169DB">
        <w:rPr>
          <w:rFonts w:ascii="TitilliumText25L" w:hAnsi="TitilliumText25L"/>
          <w:vertAlign w:val="superscript"/>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"mendeley" : { "previouslyFormattedCitation" : "&lt;sup&gt;2&lt;/sup&gt;" }, "properties" : { "noteIndex" : 0 }, "schema" : "https://github.com/citation-style-language/schema/raw/master/csl-citation.json" }</w:instrText>
      </w:r>
      <w:r w:rsidRPr="00C169DB">
        <w:rPr>
          <w:rFonts w:ascii="TitilliumText25L" w:hAnsi="TitilliumText25L"/>
          <w:vertAlign w:val="superscript"/>
        </w:rPr>
        <w:fldChar w:fldCharType="separate"/>
      </w:r>
      <w:r w:rsidR="00686A05" w:rsidRPr="00C169DB">
        <w:rPr>
          <w:rFonts w:ascii="TitilliumText25L" w:hAnsi="TitilliumText25L"/>
          <w:noProof/>
          <w:vertAlign w:val="superscript"/>
        </w:rPr>
        <w:t>2</w:t>
      </w:r>
      <w:r w:rsidRPr="00C169DB">
        <w:rPr>
          <w:rFonts w:ascii="TitilliumText25L" w:hAnsi="TitilliumText25L"/>
          <w:vertAlign w:val="superscript"/>
          <w:lang w:val="en-GB"/>
        </w:rPr>
        <w:fldChar w:fldCharType="end"/>
      </w:r>
    </w:p>
    <w:p w:rsidR="008A3A58" w:rsidRPr="00C169DB" w:rsidRDefault="008A3A58" w:rsidP="008C4E39">
      <w:pPr>
        <w:spacing w:after="0"/>
        <w:ind w:left="142" w:hanging="142"/>
        <w:contextualSpacing/>
        <w:jc w:val="right"/>
        <w:rPr>
          <w:rFonts w:ascii="TitilliumText25L" w:hAnsi="TitilliumText25L"/>
          <w:vertAlign w:val="superscript"/>
          <w:lang w:val="en-GB"/>
        </w:rPr>
      </w:pPr>
    </w:p>
    <w:p w:rsidR="00255EBA" w:rsidRPr="00C169DB" w:rsidRDefault="00255EBA">
      <w:pPr>
        <w:rPr>
          <w:rFonts w:ascii="TitilliumText25L" w:hAnsi="TitilliumText25L" w:cs="Arial"/>
          <w:sz w:val="36"/>
          <w:szCs w:val="36"/>
        </w:rPr>
      </w:pPr>
      <w:r w:rsidRPr="00C169DB">
        <w:rPr>
          <w:rFonts w:ascii="TitilliumText25L" w:hAnsi="TitilliumText25L"/>
        </w:rPr>
        <w:br w:type="page"/>
      </w:r>
    </w:p>
    <w:p w:rsidR="00255EBA" w:rsidRPr="00C169DB" w:rsidRDefault="00056C53" w:rsidP="009325F7">
      <w:pPr>
        <w:pStyle w:val="Heading2"/>
        <w:spacing w:before="240" w:line="276" w:lineRule="auto"/>
        <w:rPr>
          <w:rFonts w:ascii="TitilliumText25L" w:hAnsi="TitilliumText25L"/>
        </w:rPr>
      </w:pPr>
      <w:bookmarkStart w:id="6" w:name="_Toc390423656"/>
      <w:r w:rsidRPr="00C169DB">
        <w:rPr>
          <w:rFonts w:ascii="TitilliumText25L" w:hAnsi="TitilliumText25L"/>
        </w:rPr>
        <w:t>Red blood c</w:t>
      </w:r>
      <w:r w:rsidR="009325F7" w:rsidRPr="00C169DB">
        <w:rPr>
          <w:rFonts w:ascii="TitilliumText25L" w:hAnsi="TitilliumText25L"/>
        </w:rPr>
        <w:t>ell transfusion in c</w:t>
      </w:r>
      <w:r w:rsidR="00255EBA" w:rsidRPr="00C169DB">
        <w:rPr>
          <w:rFonts w:ascii="TitilliumText25L" w:hAnsi="TitilliumText25L"/>
        </w:rPr>
        <w:t>hronically transfused patients.</w:t>
      </w:r>
      <w:bookmarkEnd w:id="6"/>
    </w:p>
    <w:p w:rsidR="008A3A58" w:rsidRPr="00C169DB" w:rsidRDefault="00AC5F16" w:rsidP="00CB7AD8">
      <w:pPr>
        <w:spacing w:after="120"/>
        <w:rPr>
          <w:rFonts w:ascii="TitilliumText25L" w:hAnsi="TitilliumText25L"/>
        </w:rPr>
      </w:pPr>
      <w:r w:rsidRPr="00C169DB">
        <w:rPr>
          <w:rFonts w:ascii="TitilliumText25L" w:hAnsi="TitilliumText25L"/>
        </w:rPr>
        <w:t>Chronic</w:t>
      </w:r>
      <w:r w:rsidR="00CB7AD8" w:rsidRPr="00C169DB">
        <w:rPr>
          <w:rFonts w:ascii="TitilliumText25L" w:hAnsi="TitilliumText25L"/>
        </w:rPr>
        <w:t>ally</w:t>
      </w:r>
      <w:r w:rsidRPr="00C169DB">
        <w:rPr>
          <w:rFonts w:ascii="TitilliumText25L" w:hAnsi="TitilliumText25L"/>
        </w:rPr>
        <w:t xml:space="preserve"> transfus</w:t>
      </w:r>
      <w:r w:rsidR="00CB7AD8" w:rsidRPr="00C169DB">
        <w:rPr>
          <w:rFonts w:ascii="TitilliumText25L" w:hAnsi="TitilliumText25L"/>
        </w:rPr>
        <w:t>ed</w:t>
      </w:r>
      <w:r w:rsidRPr="00C169DB">
        <w:rPr>
          <w:rFonts w:ascii="TitilliumText25L" w:hAnsi="TitilliumText25L"/>
        </w:rPr>
        <w:t xml:space="preserve"> </w:t>
      </w:r>
      <w:r w:rsidR="008A3A58" w:rsidRPr="00C169DB">
        <w:rPr>
          <w:rFonts w:ascii="TitilliumText25L" w:hAnsi="TitilliumText25L"/>
        </w:rPr>
        <w:t xml:space="preserve">patients are usually managed as outpatients. Hence, for practical reasons, they are often prescribed a predetermined number of RBC units (intended to achieve a defined Hb concentration), rather than having their response assessed after each unit.  In addition, these patients may be deliberately transfused to </w:t>
      </w:r>
      <w:r w:rsidRPr="00C169DB">
        <w:rPr>
          <w:rFonts w:ascii="TitilliumText25L" w:hAnsi="TitilliumText25L"/>
        </w:rPr>
        <w:t>a higher level of Hb than is physiologically necessary, in an attempt to maximise the interval between transfusions.</w:t>
      </w:r>
    </w:p>
    <w:p w:rsidR="00E01FC5" w:rsidRPr="00C169DB" w:rsidRDefault="00E01FC5" w:rsidP="00CB7AD8">
      <w:pPr>
        <w:spacing w:after="120"/>
        <w:rPr>
          <w:rFonts w:ascii="TitilliumText25L" w:hAnsi="TitilliumText25L"/>
        </w:rPr>
      </w:pPr>
      <w:r w:rsidRPr="00C169DB">
        <w:rPr>
          <w:rFonts w:ascii="TitilliumText25L" w:hAnsi="TitilliumText25L"/>
        </w:rPr>
        <w:t>For patients who are chronically transfused please refer to the relevant practice points in the Patient Blood Management Guidelines: Module 3 – Medical</w:t>
      </w:r>
      <w:r w:rsidR="00D3230A" w:rsidRPr="00C169DB">
        <w:rPr>
          <w:rFonts w:ascii="TitilliumText25L" w:hAnsi="TitilliumText25L"/>
        </w:rPr>
        <w:t>:</w:t>
      </w:r>
      <w:r w:rsidR="00563002" w:rsidRPr="00C169DB">
        <w:rPr>
          <w:rFonts w:ascii="TitilliumText25L" w:hAnsi="TitilliumText25L"/>
          <w:vertAlign w:val="superscript"/>
        </w:rPr>
        <w:fldChar w:fldCharType="begin" w:fldLock="1"/>
      </w:r>
      <w:r w:rsidR="00686A05" w:rsidRPr="00C169DB">
        <w:rPr>
          <w:rFonts w:ascii="TitilliumText25L" w:hAnsi="TitilliumText25L"/>
          <w:vertAlign w:val="superscript"/>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"&lt;sup&gt;1&lt;/sup&gt;" }, "properties" : { "noteIndex" : 0 }, "schema" : "https://github.com/citation-style-language/schema/raw/master/csl-citation.json" }</w:instrText>
      </w:r>
      <w:r w:rsidR="00563002" w:rsidRPr="00C169DB">
        <w:rPr>
          <w:rFonts w:ascii="TitilliumText25L" w:hAnsi="TitilliumText25L"/>
          <w:vertAlign w:val="superscript"/>
        </w:rPr>
        <w:fldChar w:fldCharType="separate"/>
      </w:r>
      <w:r w:rsidR="00686A05" w:rsidRPr="00C169DB">
        <w:rPr>
          <w:rFonts w:ascii="TitilliumText25L" w:hAnsi="TitilliumText25L"/>
          <w:vertAlign w:val="superscript"/>
        </w:rPr>
        <w:t>1</w:t>
      </w:r>
      <w:r w:rsidR="00563002" w:rsidRPr="00C169DB">
        <w:rPr>
          <w:rFonts w:ascii="TitilliumText25L" w:hAnsi="TitilliumText25L"/>
          <w:vertAlign w:val="superscript"/>
        </w:rPr>
        <w:fldChar w:fldCharType="end"/>
      </w:r>
    </w:p>
    <w:p w:rsidR="00095F87" w:rsidRPr="00C169DB" w:rsidRDefault="00E97296" w:rsidP="00095F87">
      <w:pPr>
        <w:spacing w:after="0"/>
        <w:rPr>
          <w:rFonts w:ascii="TitilliumText25L" w:hAnsi="TitilliumText25L"/>
        </w:rPr>
      </w:pPr>
      <w:r w:rsidRPr="00C169DB">
        <w:rPr>
          <w:noProof/>
          <w:lang w:eastAsia="en-AU"/>
        </w:rPr>
        <w:drawing>
          <wp:inline distT="0" distB="0" distL="0" distR="0" wp14:anchorId="3BA952DA" wp14:editId="69DC448B">
            <wp:extent cx="5926455" cy="1420830"/>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26455" cy="1420830"/>
                    </a:xfrm>
                    <a:prstGeom prst="rect">
                      <a:avLst/>
                    </a:prstGeom>
                  </pic:spPr>
                </pic:pic>
              </a:graphicData>
            </a:graphic>
          </wp:inline>
        </w:drawing>
      </w:r>
    </w:p>
    <w:p w:rsidR="00DA72CB" w:rsidRPr="00C169DB" w:rsidRDefault="00DA72CB" w:rsidP="00686A05">
      <w:pPr>
        <w:pStyle w:val="ListParagraph"/>
        <w:spacing w:after="120"/>
        <w:ind w:left="360"/>
        <w:jc w:val="right"/>
        <w:rPr>
          <w:rFonts w:ascii="TitilliumText25L" w:hAnsi="TitilliumText25L"/>
        </w:rPr>
      </w:pPr>
      <w:r w:rsidRPr="00C169DB">
        <w:rPr>
          <w:rFonts w:ascii="TitilliumText25L" w:hAnsi="TitilliumText25L"/>
          <w:sz w:val="14"/>
        </w:rPr>
        <w:t>Patient Blood Management Guidelines: Module 3 - Medical</w:t>
      </w:r>
      <w:r w:rsidRPr="00C169DB">
        <w:rPr>
          <w:rFonts w:ascii="TitilliumText25L" w:hAnsi="TitilliumText25L"/>
          <w:sz w:val="14"/>
        </w:rPr>
        <w:fldChar w:fldCharType="begin" w:fldLock="1"/>
      </w:r>
      <w:r w:rsidR="00686A05" w:rsidRPr="00C169DB">
        <w:rPr>
          <w:rFonts w:ascii="TitilliumText25L" w:hAnsi="TitilliumText25L"/>
          <w:sz w:val="14"/>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"&lt;sup&gt;1&lt;/sup&gt;" }, "properties" : { "noteIndex" : 0 }, "schema" : "https://github.com/citation-style-language/schema/raw/master/csl-citation.json" }</w:instrText>
      </w:r>
      <w:r w:rsidRPr="00C169DB">
        <w:rPr>
          <w:rFonts w:ascii="TitilliumText25L" w:hAnsi="TitilliumText25L"/>
          <w:sz w:val="14"/>
        </w:rPr>
        <w:fldChar w:fldCharType="separate"/>
      </w:r>
      <w:r w:rsidR="00686A05" w:rsidRPr="00C169DB">
        <w:rPr>
          <w:rFonts w:ascii="TitilliumText25L" w:hAnsi="TitilliumText25L"/>
          <w:noProof/>
          <w:sz w:val="14"/>
          <w:vertAlign w:val="superscript"/>
        </w:rPr>
        <w:t>1</w:t>
      </w:r>
      <w:r w:rsidRPr="00C169DB">
        <w:rPr>
          <w:rFonts w:ascii="TitilliumText25L" w:hAnsi="TitilliumText25L"/>
          <w:sz w:val="14"/>
        </w:rPr>
        <w:fldChar w:fldCharType="end"/>
      </w:r>
    </w:p>
    <w:p w:rsidR="00A46B5F" w:rsidRPr="00C169DB" w:rsidRDefault="00A46B5F" w:rsidP="00A46B5F">
      <w:pPr>
        <w:pStyle w:val="Heading2"/>
        <w:spacing w:before="240" w:line="276" w:lineRule="auto"/>
        <w:rPr>
          <w:rFonts w:ascii="TitilliumText25L" w:hAnsi="TitilliumText25L"/>
        </w:rPr>
      </w:pPr>
      <w:bookmarkStart w:id="7" w:name="_Toc390423657"/>
      <w:r w:rsidRPr="00C169DB">
        <w:rPr>
          <w:rFonts w:ascii="TitilliumText25L" w:hAnsi="TitilliumText25L"/>
        </w:rPr>
        <w:t>Iron Deficiency Anaemia.</w:t>
      </w:r>
      <w:bookmarkEnd w:id="7"/>
    </w:p>
    <w:p w:rsidR="00A46B5F" w:rsidRPr="00C169DB" w:rsidRDefault="00A46B5F" w:rsidP="00363098">
      <w:pPr>
        <w:spacing w:after="120"/>
        <w:rPr>
          <w:rFonts w:ascii="TitilliumText25L" w:hAnsi="TitilliumText25L"/>
        </w:rPr>
      </w:pPr>
      <w:r w:rsidRPr="00C169DB">
        <w:rPr>
          <w:rFonts w:ascii="TitilliumText25L" w:hAnsi="TitilliumText25L"/>
        </w:rPr>
        <w:t xml:space="preserve">Red cell transfusion is inappropriate therapy for iron deficiency anaemia (IDA) unless an immediate increase in oxygen delivery is required, such as when the patient is experiencing end-organ compromise (e.g. angina pectoris or cardiac failure), or IDA is complicated by serious, acute ongoing bleeding. </w:t>
      </w:r>
      <w:bookmarkStart w:id="8" w:name="0_pgfId-1095387"/>
      <w:bookmarkEnd w:id="8"/>
      <w:r w:rsidRPr="00C169DB">
        <w:rPr>
          <w:rFonts w:ascii="TitilliumText25L" w:hAnsi="TitilliumText25L"/>
        </w:rPr>
        <w:t xml:space="preserve">Oral iron therapy, in appropriate doses and for a sufficient duration, is an effective first-line strategy for most patients. </w:t>
      </w:r>
      <w:bookmarkStart w:id="9" w:name="0_pgfId-1095388"/>
      <w:bookmarkEnd w:id="9"/>
      <w:r w:rsidRPr="00C169DB">
        <w:rPr>
          <w:rFonts w:ascii="TitilliumText25L" w:hAnsi="TitilliumText25L"/>
        </w:rPr>
        <w:t>In selected patients for whom intravenous (IV) iron therapy is indicated, current formulations can be safely administered in outpatient treatment centres and are relatively inexpensive.</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"abstract" : "Red cell transfusion is inappropriate therapy for Iron Deficiency anaemia unless an immediate increase in oxygen delivery is required, such as when the patient is experiencing end-organ compromise (eg, angina pectoris or cardiac failure), or IDA is complicated by serious, acute ongoing bleeding. Oral iron therapy, in appropriate doses and for a sufficient duration, is an effective first-line strategy for most patients. In selected patients for whom intravenous (IV) iron therapy is indicated, current formulations can be safely administered in outpatient treatment centres and are relatively inexpensive.", "author" : [ { "dropping-particle" : "", "family" : "Pasricha", "given" : "Sant-Rayn", "non-dropping-particle" : "", "parse-names" : false, "suffix" : "" }, { "dropping-particle" : "", "family" : "Flecknoe-Brown", "given" : "Stephen", "non-dropping-particle" : "", "parse-names" : false, "suffix" : "" }, { "dropping-particle" : "", "family" : "Allen", "given" : "Katrina", "non-dropping-particle" : "", "parse-names" : false, "suffix" : "" }, { "dropping-particle" : "", "family" : "Gibson", "given" : "Peter", "non-dropping-particle" : "", "parse-names" : false, "suffix" : "" }, { "dropping-particle" : "", "family" : "McMahon", "given" : "Lawrence", "non-dropping-particle" : "", "parse-names" : false, "suffix" : "" }, { "dropping-particle" : "", "family" : "Olynyk", "given" : "John", "non-dropping-particle" : "", "parse-names" : false, "suffix" : "" }, { "dropping-particle" : "", "family" : "Roger", "given" : "Somon", "non-dropping-particle" : "", "parse-names" : false, "suffix" : "" }, { "dropping-particle" : "", "family" : "Savoia", "given" : "Helen", "non-dropping-particle" : "", "parse-names" : false, "suffix" : "" }, { "dropping-particle" : "", "family" : "Tampi", "given" : "Ramdas", "non-dropping-particle" : "", "parse-names" : false, "suffix" : "" }, { "dropping-particle" : "", "family" : "Thomson", "given" : "Amanda", "non-dropping-particle" : "", "parse-names" : false, "suffix" : "" }, { "dropping-particle" : "", "family" : "Wood", "given" : "Erics", "non-dropping-particle" : "", "parse-names" : false, "suffix" : "" }, { "dropping-particle" : "", "family" : "Robinson", "given" : "Kathryn", "non-dropping-particle" : "", "parse-names" : false, "suffix" : "" } ], "container-title" : "Med J Aust", "id" : "ITEM-1", "issue" : "9", "issued" : { "date-parts" : [ [ "2010" ] ] }, "page" : "525-532", "title" : "Diagnosis and management of iron deficiency anaemia: a clinical update", "type" : "article-journal", "volume" : "198" }, "uris" : [ "http://www.mendeley.com/documents/?uuid=38b52922-e84f-40be-a09c-6a4645479b3c" ] } ], "mendeley" : { "previouslyFormattedCitation" : "&lt;sup&gt;12&lt;/sup&gt;"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12</w:t>
      </w:r>
      <w:r w:rsidRPr="00C169DB">
        <w:rPr>
          <w:rFonts w:ascii="TitilliumText25L" w:hAnsi="TitilliumText25L"/>
        </w:rPr>
        <w:fldChar w:fldCharType="end"/>
      </w:r>
    </w:p>
    <w:p w:rsidR="008C3F9A" w:rsidRPr="00C169DB" w:rsidRDefault="00973BE9" w:rsidP="00CB7AD8">
      <w:pPr>
        <w:spacing w:before="240" w:after="0"/>
        <w:rPr>
          <w:rFonts w:ascii="TitilliumText25L" w:hAnsi="TitilliumText25L"/>
        </w:rPr>
      </w:pPr>
      <w:r w:rsidRPr="00C169DB">
        <w:rPr>
          <w:rFonts w:ascii="TitilliumText25L" w:hAnsi="TitilliumText25L"/>
        </w:rPr>
        <w:t xml:space="preserve">The Patient Blood Management Guidelines: Module 3 </w:t>
      </w:r>
      <w:r w:rsidR="00A47CA4" w:rsidRPr="00C169DB">
        <w:rPr>
          <w:rFonts w:ascii="TitilliumText25L" w:hAnsi="TitilliumText25L"/>
        </w:rPr>
        <w:t xml:space="preserve">– </w:t>
      </w:r>
      <w:r w:rsidRPr="00C169DB">
        <w:rPr>
          <w:rFonts w:ascii="TitilliumText25L" w:hAnsi="TitilliumText25L"/>
        </w:rPr>
        <w:t>Medical</w:t>
      </w:r>
      <w:r w:rsidR="00563002" w:rsidRPr="00C169DB">
        <w:rPr>
          <w:rFonts w:ascii="TitilliumText25L" w:hAnsi="TitilliumText25L"/>
        </w:rPr>
        <w:fldChar w:fldCharType="begin" w:fldLock="1"/>
      </w:r>
      <w:r w:rsidR="00686A05"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"&lt;sup&gt;1&lt;/sup&gt;" }, "properties" : { "noteIndex" : 0 }, "schema" : "https://github.com/citation-style-language/schema/raw/master/csl-citation.json" }</w:instrText>
      </w:r>
      <w:r w:rsidR="00563002" w:rsidRPr="00C169DB">
        <w:rPr>
          <w:rFonts w:ascii="TitilliumText25L" w:hAnsi="TitilliumText25L"/>
        </w:rPr>
        <w:fldChar w:fldCharType="separate"/>
      </w:r>
      <w:r w:rsidR="00686A05" w:rsidRPr="00C169DB">
        <w:rPr>
          <w:rFonts w:ascii="TitilliumText25L" w:hAnsi="TitilliumText25L"/>
          <w:noProof/>
          <w:vertAlign w:val="superscript"/>
        </w:rPr>
        <w:t>1</w:t>
      </w:r>
      <w:r w:rsidR="00563002" w:rsidRPr="00C169DB">
        <w:rPr>
          <w:rFonts w:ascii="TitilliumText25L" w:hAnsi="TitilliumText25L"/>
        </w:rPr>
        <w:fldChar w:fldCharType="end"/>
      </w:r>
      <w:r w:rsidRPr="00C169DB">
        <w:rPr>
          <w:rFonts w:ascii="TitilliumText25L" w:hAnsi="TitilliumText25L"/>
        </w:rPr>
        <w:t xml:space="preserve"> state</w:t>
      </w:r>
      <w:r w:rsidR="00D95D04" w:rsidRPr="00C169DB">
        <w:rPr>
          <w:rFonts w:ascii="TitilliumText25L" w:hAnsi="TitilliumText25L"/>
        </w:rPr>
        <w:t>:</w:t>
      </w:r>
    </w:p>
    <w:p w:rsidR="00E97296" w:rsidRPr="00C169DB" w:rsidRDefault="00E97296" w:rsidP="00CB7AD8">
      <w:pPr>
        <w:spacing w:before="240" w:after="0"/>
        <w:rPr>
          <w:rFonts w:ascii="TitilliumText25L" w:hAnsi="TitilliumText25L"/>
        </w:rPr>
      </w:pPr>
      <w:r w:rsidRPr="00C169DB">
        <w:rPr>
          <w:noProof/>
          <w:lang w:eastAsia="en-AU"/>
        </w:rPr>
        <w:drawing>
          <wp:inline distT="0" distB="0" distL="0" distR="0" wp14:anchorId="423E700C" wp14:editId="705D573F">
            <wp:extent cx="5926455" cy="76866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6455" cy="768666"/>
                    </a:xfrm>
                    <a:prstGeom prst="rect">
                      <a:avLst/>
                    </a:prstGeom>
                  </pic:spPr>
                </pic:pic>
              </a:graphicData>
            </a:graphic>
          </wp:inline>
        </w:drawing>
      </w:r>
    </w:p>
    <w:p w:rsidR="00DA72CB" w:rsidRPr="00C169DB" w:rsidRDefault="00DA72CB" w:rsidP="008C3F9A">
      <w:pPr>
        <w:spacing w:after="120"/>
        <w:jc w:val="right"/>
        <w:rPr>
          <w:rFonts w:ascii="TitilliumText25L" w:hAnsi="TitilliumText25L"/>
        </w:rPr>
      </w:pPr>
      <w:r w:rsidRPr="00C169DB">
        <w:rPr>
          <w:rFonts w:ascii="TitilliumText25L" w:hAnsi="TitilliumText25L"/>
          <w:sz w:val="14"/>
        </w:rPr>
        <w:t>Patient Blood Management Guidelines: Module 3 - Medical</w:t>
      </w:r>
      <w:r w:rsidRPr="00C169DB">
        <w:rPr>
          <w:rFonts w:ascii="TitilliumText25L" w:hAnsi="TitilliumText25L"/>
          <w:sz w:val="14"/>
        </w:rPr>
        <w:fldChar w:fldCharType="begin" w:fldLock="1"/>
      </w:r>
      <w:r w:rsidR="00686A05" w:rsidRPr="00C169DB">
        <w:rPr>
          <w:rFonts w:ascii="TitilliumText25L" w:hAnsi="TitilliumText25L"/>
          <w:sz w:val="14"/>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"&lt;sup&gt;1&lt;/sup&gt;" }, "properties" : { "noteIndex" : 0 }, "schema" : "https://github.com/citation-style-language/schema/raw/master/csl-citation.json" }</w:instrText>
      </w:r>
      <w:r w:rsidRPr="00C169DB">
        <w:rPr>
          <w:rFonts w:ascii="TitilliumText25L" w:hAnsi="TitilliumText25L"/>
          <w:sz w:val="14"/>
        </w:rPr>
        <w:fldChar w:fldCharType="separate"/>
      </w:r>
      <w:r w:rsidR="00686A05" w:rsidRPr="00C169DB">
        <w:rPr>
          <w:rFonts w:ascii="TitilliumText25L" w:hAnsi="TitilliumText25L"/>
          <w:noProof/>
          <w:sz w:val="14"/>
          <w:vertAlign w:val="superscript"/>
        </w:rPr>
        <w:t>1</w:t>
      </w:r>
      <w:r w:rsidRPr="00C169DB">
        <w:rPr>
          <w:rFonts w:ascii="TitilliumText25L" w:hAnsi="TitilliumText25L"/>
          <w:sz w:val="14"/>
        </w:rPr>
        <w:fldChar w:fldCharType="end"/>
      </w:r>
    </w:p>
    <w:p w:rsidR="00095F87" w:rsidRPr="00C169DB" w:rsidRDefault="00095F87" w:rsidP="00363098">
      <w:pPr>
        <w:spacing w:after="480"/>
        <w:rPr>
          <w:rFonts w:ascii="TitilliumText25L" w:hAnsi="TitilliumText25L"/>
        </w:rPr>
      </w:pPr>
    </w:p>
    <w:p w:rsidR="00095F87" w:rsidRPr="00C169DB" w:rsidRDefault="00933C78" w:rsidP="00363098">
      <w:pPr>
        <w:spacing w:after="120"/>
        <w:rPr>
          <w:rFonts w:ascii="TitilliumText25L" w:hAnsi="TitilliumText25L"/>
        </w:rPr>
      </w:pPr>
      <w:r w:rsidRPr="00C169DB">
        <w:rPr>
          <w:rFonts w:ascii="TitilliumText25L" w:hAnsi="TitilliumText25L"/>
        </w:rPr>
        <w:t xml:space="preserve">All patients who receive </w:t>
      </w:r>
      <w:r w:rsidR="00C03106" w:rsidRPr="00C169DB">
        <w:rPr>
          <w:rFonts w:ascii="TitilliumText25L" w:hAnsi="TitilliumText25L"/>
        </w:rPr>
        <w:t>one</w:t>
      </w:r>
      <w:r w:rsidR="00E1317F" w:rsidRPr="00C169DB">
        <w:rPr>
          <w:rFonts w:ascii="TitilliumText25L" w:hAnsi="TitilliumText25L"/>
        </w:rPr>
        <w:t xml:space="preserve"> unit of red </w:t>
      </w:r>
      <w:r w:rsidR="00784DFF" w:rsidRPr="00C169DB">
        <w:rPr>
          <w:rFonts w:ascii="TitilliumText25L" w:hAnsi="TitilliumText25L"/>
        </w:rPr>
        <w:t xml:space="preserve">blood </w:t>
      </w:r>
      <w:r w:rsidR="00E1317F" w:rsidRPr="00C169DB">
        <w:rPr>
          <w:rFonts w:ascii="TitilliumText25L" w:hAnsi="TitilliumText25L"/>
        </w:rPr>
        <w:t xml:space="preserve">cells </w:t>
      </w:r>
      <w:r w:rsidR="00A22B04" w:rsidRPr="00C169DB">
        <w:rPr>
          <w:rFonts w:ascii="TitilliumText25L" w:hAnsi="TitilliumText25L"/>
        </w:rPr>
        <w:t>should</w:t>
      </w:r>
      <w:r w:rsidR="00E1317F" w:rsidRPr="00C169DB">
        <w:rPr>
          <w:rFonts w:ascii="TitilliumText25L" w:hAnsi="TitilliumText25L"/>
        </w:rPr>
        <w:t xml:space="preserve"> be reassessed to determine their need for further </w:t>
      </w:r>
      <w:r w:rsidRPr="00C169DB">
        <w:rPr>
          <w:rFonts w:ascii="TitilliumText25L" w:hAnsi="TitilliumText25L"/>
        </w:rPr>
        <w:t xml:space="preserve">transfusion therapy with </w:t>
      </w:r>
      <w:r w:rsidR="00E1317F" w:rsidRPr="00C169DB">
        <w:rPr>
          <w:rFonts w:ascii="TitilliumText25L" w:hAnsi="TitilliumText25L"/>
        </w:rPr>
        <w:t>red blood cell units</w:t>
      </w:r>
      <w:r w:rsidR="00FF7E19" w:rsidRPr="00C169DB">
        <w:rPr>
          <w:rFonts w:ascii="TitilliumText25L" w:hAnsi="TitilliumText25L"/>
        </w:rPr>
        <w:t>.</w:t>
      </w:r>
      <w:r w:rsidR="00D3230A" w:rsidRPr="00C169DB">
        <w:rPr>
          <w:rFonts w:ascii="TitilliumText25L" w:hAnsi="TitilliumText25L"/>
        </w:rPr>
        <w:t xml:space="preserve"> </w:t>
      </w:r>
      <w:r w:rsidR="00FF7E19" w:rsidRPr="00C169DB">
        <w:rPr>
          <w:rFonts w:ascii="TitilliumText25L" w:hAnsi="TitilliumText25L"/>
        </w:rPr>
        <w:t>T</w:t>
      </w:r>
      <w:r w:rsidR="00D3230A" w:rsidRPr="00C169DB">
        <w:rPr>
          <w:rFonts w:ascii="TitilliumText25L" w:hAnsi="TitilliumText25L"/>
        </w:rPr>
        <w:t>he decision to prescribe subsequent units should be based on the same parameters and clinical indications as those considered for the initial order.</w:t>
      </w:r>
    </w:p>
    <w:p w:rsidR="00BE35FA" w:rsidRPr="00C169DB" w:rsidRDefault="00095F87" w:rsidP="00095F87">
      <w:pPr>
        <w:rPr>
          <w:rFonts w:ascii="TitilliumText25L" w:hAnsi="TitilliumText25L"/>
        </w:rPr>
      </w:pPr>
      <w:r w:rsidRPr="00C169DB">
        <w:rPr>
          <w:rFonts w:ascii="TitilliumText25L" w:hAnsi="TitilliumText25L"/>
        </w:rPr>
        <w:br w:type="page"/>
      </w:r>
    </w:p>
    <w:p w:rsidR="00451D63" w:rsidRPr="00C169DB" w:rsidRDefault="00451D63" w:rsidP="009325F7">
      <w:pPr>
        <w:pStyle w:val="Heading2"/>
        <w:spacing w:before="240" w:line="276" w:lineRule="auto"/>
        <w:rPr>
          <w:rFonts w:ascii="TitilliumText25L" w:hAnsi="TitilliumText25L"/>
        </w:rPr>
      </w:pPr>
      <w:bookmarkStart w:id="10" w:name="_Toc390423658"/>
      <w:r w:rsidRPr="00C169DB">
        <w:rPr>
          <w:rFonts w:ascii="TitilliumText25L" w:hAnsi="TitilliumText25L"/>
        </w:rPr>
        <w:t>Why does transfusion practice need to change?</w:t>
      </w:r>
      <w:bookmarkEnd w:id="10"/>
    </w:p>
    <w:p w:rsidR="00451D63" w:rsidRPr="00C169DB" w:rsidRDefault="00DA72CB" w:rsidP="00E97296">
      <w:pPr>
        <w:spacing w:after="120"/>
        <w:rPr>
          <w:rFonts w:ascii="TitilliumText25L" w:hAnsi="TitilliumText25L"/>
          <w:lang w:val="en-GB"/>
        </w:rPr>
      </w:pPr>
      <w:r w:rsidRPr="00C169DB">
        <w:rPr>
          <w:rFonts w:ascii="TitilliumText25L" w:hAnsi="TitilliumText25L"/>
          <w:lang w:val="en-GB"/>
        </w:rPr>
        <w:t xml:space="preserve">It is important to ensure that </w:t>
      </w:r>
      <w:r w:rsidR="00451D63" w:rsidRPr="00C169DB">
        <w:rPr>
          <w:rFonts w:ascii="TitilliumText25L" w:hAnsi="TitilliumText25L"/>
          <w:lang w:val="en-GB"/>
        </w:rPr>
        <w:t>practice align</w:t>
      </w:r>
      <w:r w:rsidRPr="00C169DB">
        <w:rPr>
          <w:rFonts w:ascii="TitilliumText25L" w:hAnsi="TitilliumText25L"/>
          <w:lang w:val="en-GB"/>
        </w:rPr>
        <w:t>s</w:t>
      </w:r>
      <w:r w:rsidR="00451D63" w:rsidRPr="00C169DB">
        <w:rPr>
          <w:rFonts w:ascii="TitilliumText25L" w:hAnsi="TitilliumText25L"/>
          <w:lang w:val="en-GB"/>
        </w:rPr>
        <w:t xml:space="preserve"> with the</w:t>
      </w:r>
      <w:r w:rsidRPr="00C169DB">
        <w:rPr>
          <w:rFonts w:ascii="TitilliumText25L" w:hAnsi="TitilliumText25L"/>
          <w:lang w:val="en-GB"/>
        </w:rPr>
        <w:t xml:space="preserve"> national </w:t>
      </w:r>
      <w:r w:rsidR="00451D63" w:rsidRPr="00C169DB">
        <w:rPr>
          <w:rFonts w:ascii="TitilliumText25L" w:hAnsi="TitilliumText25L"/>
          <w:lang w:val="en-GB"/>
        </w:rPr>
        <w:t>Patient Blood Management Guidelines (</w:t>
      </w:r>
      <w:r w:rsidR="008406C2" w:rsidRPr="00C169DB">
        <w:rPr>
          <w:rFonts w:ascii="TitilliumText25L" w:hAnsi="TitilliumText25L"/>
          <w:lang w:val="en-GB"/>
        </w:rPr>
        <w:t xml:space="preserve">Module 2 – Perioperative, </w:t>
      </w:r>
      <w:r w:rsidR="00451D63" w:rsidRPr="00C169DB">
        <w:rPr>
          <w:rFonts w:ascii="TitilliumText25L" w:hAnsi="TitilliumText25L"/>
          <w:lang w:val="en-GB"/>
        </w:rPr>
        <w:t xml:space="preserve">Module 3 - Medical and Module 4 - Critical Care) </w:t>
      </w:r>
      <w:r w:rsidR="00B64DEB" w:rsidRPr="00C169DB">
        <w:rPr>
          <w:rFonts w:ascii="TitilliumText25L" w:hAnsi="TitilliumText25L"/>
          <w:lang w:val="en-GB"/>
        </w:rPr>
        <w:t xml:space="preserve">that </w:t>
      </w:r>
      <w:r w:rsidR="00451D63" w:rsidRPr="00C169DB">
        <w:rPr>
          <w:rFonts w:ascii="TitilliumText25L" w:hAnsi="TitilliumText25L"/>
          <w:lang w:val="en-GB"/>
        </w:rPr>
        <w:t xml:space="preserve">support a single unit </w:t>
      </w:r>
      <w:r w:rsidR="00341C54" w:rsidRPr="00C169DB">
        <w:rPr>
          <w:rFonts w:ascii="TitilliumText25L" w:hAnsi="TitilliumText25L"/>
          <w:lang w:val="en-GB"/>
        </w:rPr>
        <w:t>transfusion</w:t>
      </w:r>
      <w:r w:rsidR="00451D63" w:rsidRPr="00C169DB">
        <w:rPr>
          <w:rFonts w:ascii="TitilliumText25L" w:hAnsi="TitilliumText25L"/>
          <w:lang w:val="en-GB"/>
        </w:rPr>
        <w:t>.</w:t>
      </w:r>
    </w:p>
    <w:p w:rsidR="00451D63" w:rsidRPr="00C169DB" w:rsidRDefault="002F2396" w:rsidP="00E97296">
      <w:pPr>
        <w:spacing w:after="120"/>
        <w:rPr>
          <w:rFonts w:ascii="TitilliumText25L" w:hAnsi="TitilliumText25L"/>
          <w:lang w:val="en-GB"/>
        </w:rPr>
      </w:pPr>
      <w:r w:rsidRPr="00C169DB">
        <w:rPr>
          <w:rFonts w:ascii="TitilliumText25L" w:hAnsi="TitilliumText25L"/>
          <w:lang w:val="en-GB"/>
        </w:rPr>
        <w:t>Historically,</w:t>
      </w:r>
      <w:r w:rsidR="00451D63" w:rsidRPr="00C169DB">
        <w:rPr>
          <w:rFonts w:ascii="TitilliumText25L" w:hAnsi="TitilliumText25L"/>
          <w:lang w:val="en-GB"/>
        </w:rPr>
        <w:t xml:space="preserve"> two unit red blood cell transfusions were </w:t>
      </w:r>
      <w:r w:rsidR="00D45904" w:rsidRPr="00C169DB">
        <w:rPr>
          <w:rFonts w:ascii="TitilliumText25L" w:hAnsi="TitilliumText25L"/>
          <w:lang w:val="en-GB"/>
        </w:rPr>
        <w:t xml:space="preserve">common </w:t>
      </w:r>
      <w:r w:rsidR="00451D63" w:rsidRPr="00C169DB">
        <w:rPr>
          <w:rFonts w:ascii="TitilliumText25L" w:hAnsi="TitilliumText25L"/>
          <w:lang w:val="en-GB"/>
        </w:rPr>
        <w:t>practice</w:t>
      </w:r>
      <w:r w:rsidR="00C5104F" w:rsidRPr="00C169DB">
        <w:rPr>
          <w:rFonts w:ascii="TitilliumText25L" w:hAnsi="TitilliumText25L"/>
          <w:lang w:val="en-GB"/>
        </w:rPr>
        <w:t xml:space="preserve"> as a single unit was not considered sufficient to correct anaemia.</w:t>
      </w:r>
      <w:r w:rsidR="00C5104F"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"mendeley" : { "previouslyFormattedCitation" : "&lt;sup&gt;8,9&lt;/sup&gt;" }, "properties" : { "noteIndex" : 0 }, "schema" : "https://github.com/citation-style-language/schema/raw/master/csl-citation.json" }</w:instrText>
      </w:r>
      <w:r w:rsidR="00C5104F"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8,9</w:t>
      </w:r>
      <w:r w:rsidR="00C5104F" w:rsidRPr="00C169DB">
        <w:rPr>
          <w:rFonts w:ascii="TitilliumText25L" w:hAnsi="TitilliumText25L"/>
          <w:lang w:val="en-GB"/>
        </w:rPr>
        <w:fldChar w:fldCharType="end"/>
      </w:r>
      <w:r w:rsidR="00451D63" w:rsidRPr="00C169DB">
        <w:rPr>
          <w:rFonts w:ascii="TitilliumText25L" w:hAnsi="TitilliumText25L"/>
          <w:lang w:val="en-GB"/>
        </w:rPr>
        <w:t xml:space="preserve">  Single unit transfusions </w:t>
      </w:r>
      <w:r w:rsidR="008C3F9A" w:rsidRPr="00C169DB">
        <w:rPr>
          <w:rFonts w:ascii="TitilliumText25L" w:hAnsi="TitilliumText25L"/>
          <w:lang w:val="en-GB"/>
        </w:rPr>
        <w:t xml:space="preserve">currently represent </w:t>
      </w:r>
      <w:r w:rsidR="00451D63" w:rsidRPr="00C169DB">
        <w:rPr>
          <w:rFonts w:ascii="TitilliumText25L" w:hAnsi="TitilliumText25L"/>
          <w:lang w:val="en-GB"/>
        </w:rPr>
        <w:t>only a small proportion of all transfusion.</w:t>
      </w:r>
    </w:p>
    <w:p w:rsidR="0014136E" w:rsidRPr="00C169DB" w:rsidRDefault="00D45904" w:rsidP="00E97296">
      <w:pPr>
        <w:spacing w:after="120"/>
        <w:rPr>
          <w:rFonts w:ascii="TitilliumText25L" w:eastAsia="Times New Roman" w:hAnsi="TitilliumText25L" w:cs="Arial"/>
          <w:sz w:val="20"/>
          <w:szCs w:val="20"/>
          <w:lang w:eastAsia="en-AU"/>
        </w:rPr>
      </w:pPr>
      <w:r w:rsidRPr="00C169DB">
        <w:rPr>
          <w:rFonts w:ascii="TitilliumText25L" w:hAnsi="TitilliumText25L"/>
          <w:lang w:val="en-GB"/>
        </w:rPr>
        <w:t>R</w:t>
      </w:r>
      <w:r w:rsidR="00451D63" w:rsidRPr="00C169DB">
        <w:rPr>
          <w:rFonts w:ascii="TitilliumText25L" w:hAnsi="TitilliumText25L"/>
          <w:lang w:val="en-GB"/>
        </w:rPr>
        <w:t xml:space="preserve">ed blood cell transfusion also poses </w:t>
      </w:r>
      <w:r w:rsidR="001A3AA7" w:rsidRPr="00C169DB">
        <w:rPr>
          <w:rFonts w:ascii="TitilliumText25L" w:hAnsi="TitilliumText25L"/>
          <w:lang w:val="en-GB"/>
        </w:rPr>
        <w:t>on going</w:t>
      </w:r>
      <w:r w:rsidR="00451D63" w:rsidRPr="00C169DB">
        <w:rPr>
          <w:rFonts w:ascii="TitilliumText25L" w:hAnsi="TitilliumText25L"/>
          <w:lang w:val="en-GB"/>
        </w:rPr>
        <w:t xml:space="preserve"> challenges in balancing supply and demand due to the increasing age of the population: demand for blood will increase but the available donor pool will decrease. </w:t>
      </w:r>
    </w:p>
    <w:p w:rsidR="00E62B12" w:rsidRPr="00C169DB" w:rsidRDefault="00451D63" w:rsidP="00E97296">
      <w:pPr>
        <w:spacing w:after="120"/>
        <w:rPr>
          <w:rFonts w:ascii="TitilliumText25L" w:eastAsia="Times New Roman" w:hAnsi="TitilliumText25L" w:cs="Arial"/>
          <w:sz w:val="20"/>
          <w:szCs w:val="20"/>
          <w:lang w:eastAsia="en-AU"/>
        </w:rPr>
      </w:pPr>
      <w:r w:rsidRPr="00C169DB">
        <w:rPr>
          <w:rFonts w:ascii="TitilliumText25L" w:hAnsi="TitilliumText25L"/>
          <w:lang w:val="en-GB"/>
        </w:rPr>
        <w:t xml:space="preserve">Although </w:t>
      </w:r>
      <w:r w:rsidR="00DA72CB" w:rsidRPr="00C169DB">
        <w:rPr>
          <w:rFonts w:ascii="TitilliumText25L" w:hAnsi="TitilliumText25L"/>
          <w:lang w:val="en-GB"/>
        </w:rPr>
        <w:t xml:space="preserve">the </w:t>
      </w:r>
      <w:r w:rsidRPr="00C169DB">
        <w:rPr>
          <w:rFonts w:ascii="TitilliumText25L" w:hAnsi="TitilliumText25L"/>
          <w:lang w:val="en-GB"/>
        </w:rPr>
        <w:t xml:space="preserve">blood </w:t>
      </w:r>
      <w:r w:rsidR="00DA72CB" w:rsidRPr="00C169DB">
        <w:rPr>
          <w:rFonts w:ascii="TitilliumText25L" w:hAnsi="TitilliumText25L"/>
          <w:lang w:val="en-GB"/>
        </w:rPr>
        <w:t xml:space="preserve">supply in Australia </w:t>
      </w:r>
      <w:r w:rsidRPr="00C169DB">
        <w:rPr>
          <w:rFonts w:ascii="TitilliumText25L" w:hAnsi="TitilliumText25L"/>
          <w:lang w:val="en-GB"/>
        </w:rPr>
        <w:t>is extremely safe from the currently known infectious agents, the potential threat from as yet unknown, or re-emerging pathogens d</w:t>
      </w:r>
      <w:r w:rsidR="009230DD" w:rsidRPr="00C169DB">
        <w:rPr>
          <w:rFonts w:ascii="TitilliumText25L" w:hAnsi="TitilliumText25L"/>
          <w:lang w:val="en-GB"/>
        </w:rPr>
        <w:t>eserves cautious consideration.</w:t>
      </w:r>
      <w:r w:rsidR="00B50FF3"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"DOI" : "10.1634/theoncologist.2011-S3-3", "abstract" : "The objective of this paper is to introduce clinicians and health care professionals to the concept of patient blood management (PBM) and to explain the difference between PBM and the concept of \"appropriate use\" of blood products. The five reasons why modern health systems need to shift from product-focused transfusion practice to PBM are also presented. These are: the aging population with a leveraged demand for blood products opposed to a shrinking donor base; the growing awareness that transfusion is a complex service involving many different cost centers within a hospital and representing a multiple of the blood product cost; the continuous effort to protect blood pools from known, new, or re-emerging pathogens while facing uncertainty over their potentially long silent carrier states; the emerging evidence that transfusion is an independent risk factor for adverse outcomes; and finally, a lack of evidence for benefit of transfusion for the vast majority of recipients.", "author" : [ { "dropping-particle" : "", "family" : "Hofmann", "given" : "Axel", "non-dropping-particle" : "", "parse-names" : false, "suffix" : "" }, { "dropping-particle" : "", "family" : "Farmer", "given" : "Shannon", "non-dropping-particle" : "", "parse-names" : false, "suffix" : "" }, { "dropping-particle" : "", "family" : "Shander", "given" : "Aryeh", "non-dropping-particle" : "", "parse-names" : false, "suffix" : "" } ], "container-title" : "The oncologist", "id" : "ITEM-1", "issued" : { "date-parts" : [ [ "2011" ] ] }, "page" : "3-11", "title" : "Five drivers shifting the paradigm from product-focused transfusion practice to patient blood management.", "type" : "article-journal", "volume" : "16 Suppl 3" }, "uris" : [ "http://www.mendeley.com/documents/?uuid=3a94e34c-9f7b-496c-af50-99a9cf529f48" ] } ], "mendeley" : { "previouslyFormattedCitation" : "&lt;sup&gt;13&lt;/sup&gt;" }, "properties" : { "noteIndex" : 0 }, "schema" : "https://github.com/citation-style-language/schema/raw/master/csl-citation.json" }</w:instrText>
      </w:r>
      <w:r w:rsidR="00B50FF3"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13</w:t>
      </w:r>
      <w:r w:rsidR="00B50FF3" w:rsidRPr="00C169DB">
        <w:rPr>
          <w:rFonts w:ascii="TitilliumText25L" w:hAnsi="TitilliumText25L"/>
          <w:lang w:val="en-GB"/>
        </w:rPr>
        <w:fldChar w:fldCharType="end"/>
      </w:r>
    </w:p>
    <w:p w:rsidR="00D66A60" w:rsidRPr="00C169DB" w:rsidRDefault="00D02BD6" w:rsidP="00E97296">
      <w:pPr>
        <w:spacing w:after="120"/>
        <w:rPr>
          <w:rFonts w:ascii="TitilliumText25L" w:hAnsi="TitilliumText25L"/>
          <w:lang w:val="en-GB"/>
        </w:rPr>
      </w:pPr>
      <w:r w:rsidRPr="00D02BD6">
        <w:rPr>
          <w:rFonts w:ascii="TitilliumText25L" w:hAnsi="TitilliumText25L"/>
          <w:noProof/>
          <w:lang w:eastAsia="en-AU"/>
        </w:rPr>
        <w:drawing>
          <wp:anchor distT="0" distB="0" distL="114300" distR="114300" simplePos="0" relativeHeight="251677696" behindDoc="1" locked="0" layoutInCell="1" allowOverlap="1" wp14:anchorId="47E8F263" wp14:editId="4EA7AC63">
            <wp:simplePos x="0" y="0"/>
            <wp:positionH relativeFrom="column">
              <wp:posOffset>-35169</wp:posOffset>
            </wp:positionH>
            <wp:positionV relativeFrom="paragraph">
              <wp:posOffset>26572</wp:posOffset>
            </wp:positionV>
            <wp:extent cx="1616075" cy="1687830"/>
            <wp:effectExtent l="0" t="0" r="3175" b="7620"/>
            <wp:wrapTight wrapText="bothSides">
              <wp:wrapPolygon edited="0">
                <wp:start x="0" y="0"/>
                <wp:lineTo x="0" y="21454"/>
                <wp:lineTo x="21388" y="21454"/>
                <wp:lineTo x="21388" y="0"/>
                <wp:lineTo x="0" y="0"/>
              </wp:wrapPolygon>
            </wp:wrapTight>
            <wp:docPr id="1027" name="Picture 3" descr="C:\Users\ROBERJ\AppData\Local\Microsoft\Windows\Temporary Internet Files\Content.Outlook\XERKAF7S\Standard 7 - Blood and Blood Products Icon on white JPE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ROBERJ\AppData\Local\Microsoft\Windows\Temporary Internet Files\Content.Outlook\XERKAF7S\Standard 7 - Blood and Blood Products Icon on white JPEG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075" cy="1687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66A60" w:rsidRPr="00C169DB">
        <w:rPr>
          <w:rFonts w:ascii="TitilliumText25L" w:hAnsi="TitilliumText25L"/>
        </w:rPr>
        <w:t xml:space="preserve">The </w:t>
      </w:r>
      <w:hyperlink r:id="rId25" w:history="1">
        <w:r w:rsidR="00D66A60" w:rsidRPr="00C169DB">
          <w:rPr>
            <w:rStyle w:val="Hyperlink"/>
            <w:rFonts w:ascii="TitilliumText25L" w:hAnsi="TitilliumText25L"/>
          </w:rPr>
          <w:t>National Safety and Quality Health Service Standard 7: Blood and Blood Products</w:t>
        </w:r>
      </w:hyperlink>
      <w:r w:rsidR="00D66A60" w:rsidRPr="00C169DB">
        <w:rPr>
          <w:rFonts w:ascii="TitilliumText25L" w:hAnsi="TitilliumText25L"/>
        </w:rPr>
        <w:t xml:space="preserve"> require</w:t>
      </w:r>
      <w:r w:rsidR="005A57FD" w:rsidRPr="00C169DB">
        <w:rPr>
          <w:rFonts w:ascii="TitilliumText25L" w:hAnsi="TitilliumText25L"/>
        </w:rPr>
        <w:t>s</w:t>
      </w:r>
      <w:r w:rsidR="00D66A60" w:rsidRPr="00C169DB">
        <w:rPr>
          <w:rFonts w:ascii="TitilliumText25L" w:hAnsi="TitilliumText25L"/>
        </w:rPr>
        <w:t xml:space="preserve"> blood and blood product policies and procedures to be consistent with national evidence based guidelines for pre-transfusion practices, prescribing and clinical use of blood and blood products</w:t>
      </w:r>
      <w:r w:rsidR="00D66A60" w:rsidRPr="00C169DB">
        <w:rPr>
          <w:rFonts w:ascii="TitilliumText25L" w:hAnsi="TitilliumText25L"/>
          <w:lang w:val="en-GB"/>
        </w:rPr>
        <w:t>.</w:t>
      </w:r>
      <w:r w:rsidR="00D66A60" w:rsidRPr="00C169DB">
        <w:rPr>
          <w:rFonts w:ascii="TitilliumText25L" w:hAnsi="TitilliumText25L"/>
          <w:lang w:val="en-GB"/>
        </w:rPr>
        <w:fldChar w:fldCharType="begin" w:fldLock="1"/>
      </w:r>
      <w:r w:rsidR="00686A05" w:rsidRPr="00C169DB">
        <w:rPr>
          <w:rFonts w:ascii="TitilliumText25L" w:hAnsi="TitilliumText25L"/>
          <w:lang w:val="en-GB"/>
        </w:rPr>
        <w:instrText>ADDIN CSL_CITATION { "citationItems" : [ { "id" : "ITEM-1", "itemData" : { "author" : [ { "dropping-particle" : "", "family" : "Australian Commission on Safety and Quality in Healthcare", "given" : "", "non-dropping-particle" : "", "parse-names" : false, "suffix" : "" } ], "container-title" : "ACSQHC", "id" : "ITEM-1", "issued" : { "date-parts" : [ [ "2012" ] ] }, "title" : "Safety and Quality Improvement Guide Standard 7: Blood and Blood Products", "type" : "book" }, "uris" : [ "http://www.mendeley.com/documents/?uuid=bc00cee3-5cc2-41e6-8c61-bd93566fb71a" ] } ], "mendeley" : { "previouslyFormattedCitation" : "&lt;sup&gt;14&lt;/sup&gt;" }, "properties" : { "noteIndex" : 0 }, "schema" : "https://github.com/citation-style-language/schema/raw/master/csl-citation.json" }</w:instrText>
      </w:r>
      <w:r w:rsidR="00D66A60" w:rsidRPr="00C169DB">
        <w:rPr>
          <w:rFonts w:ascii="TitilliumText25L" w:hAnsi="TitilliumText25L"/>
          <w:lang w:val="en-GB"/>
        </w:rPr>
        <w:fldChar w:fldCharType="separate"/>
      </w:r>
      <w:r w:rsidR="00686A05" w:rsidRPr="00C169DB">
        <w:rPr>
          <w:rFonts w:ascii="TitilliumText25L" w:hAnsi="TitilliumText25L"/>
          <w:noProof/>
          <w:vertAlign w:val="superscript"/>
          <w:lang w:val="en-GB"/>
        </w:rPr>
        <w:t>14</w:t>
      </w:r>
      <w:r w:rsidR="00D66A60" w:rsidRPr="00C169DB">
        <w:rPr>
          <w:rFonts w:ascii="TitilliumText25L" w:hAnsi="TitilliumText25L"/>
          <w:lang w:val="en-GB"/>
        </w:rPr>
        <w:fldChar w:fldCharType="end"/>
      </w:r>
      <w:r w:rsidR="00D66A60" w:rsidRPr="00C169DB">
        <w:rPr>
          <w:rFonts w:ascii="TitilliumText25L" w:hAnsi="TitilliumText25L"/>
          <w:lang w:val="en-GB"/>
        </w:rPr>
        <w:t xml:space="preserve"> </w:t>
      </w:r>
    </w:p>
    <w:p w:rsidR="00D66A60" w:rsidRPr="00C169DB" w:rsidRDefault="00D66A60" w:rsidP="00E97296">
      <w:pPr>
        <w:numPr>
          <w:ilvl w:val="0"/>
          <w:numId w:val="3"/>
        </w:numPr>
        <w:spacing w:after="120"/>
        <w:rPr>
          <w:rFonts w:ascii="TitilliumText25L" w:eastAsiaTheme="minorHAnsi" w:hAnsi="TitilliumText25L" w:cstheme="minorHAnsi"/>
        </w:rPr>
      </w:pPr>
      <w:r w:rsidRPr="00C169DB">
        <w:rPr>
          <w:rFonts w:ascii="TitilliumText25L" w:eastAsiaTheme="minorHAnsi" w:hAnsi="TitilliumText25L" w:cstheme="minorHAnsi"/>
        </w:rPr>
        <w:t xml:space="preserve">7.1.1 Blood &amp; blood product policies, procedures and/or protocols are </w:t>
      </w:r>
      <w:r w:rsidRPr="00C169DB">
        <w:rPr>
          <w:rFonts w:ascii="TitilliumText25L" w:eastAsiaTheme="minorHAnsi" w:hAnsi="TitilliumText25L" w:cstheme="minorHAnsi"/>
          <w:b/>
        </w:rPr>
        <w:t>consistent with national evidence</w:t>
      </w:r>
      <w:r w:rsidR="005B5B14" w:rsidRPr="00C169DB">
        <w:rPr>
          <w:rFonts w:ascii="TitilliumText25L" w:eastAsiaTheme="minorHAnsi" w:hAnsi="TitilliumText25L" w:cstheme="minorHAnsi"/>
          <w:b/>
        </w:rPr>
        <w:t xml:space="preserve"> </w:t>
      </w:r>
      <w:r w:rsidRPr="00C169DB">
        <w:rPr>
          <w:rFonts w:ascii="TitilliumText25L" w:eastAsiaTheme="minorHAnsi" w:hAnsi="TitilliumText25L" w:cstheme="minorHAnsi"/>
          <w:b/>
        </w:rPr>
        <w:t>based guidelines</w:t>
      </w:r>
      <w:r w:rsidRPr="00C169DB">
        <w:rPr>
          <w:rFonts w:ascii="TitilliumText25L" w:eastAsiaTheme="minorHAnsi" w:hAnsi="TitilliumText25L" w:cstheme="minorHAnsi"/>
        </w:rPr>
        <w:t xml:space="preserve"> for pre-transfusion practices, prescribing &amp; clinical use of blood &amp; blood products</w:t>
      </w:r>
    </w:p>
    <w:p w:rsidR="00D66A60" w:rsidRPr="00C169DB" w:rsidRDefault="00D66A60" w:rsidP="00E97296">
      <w:pPr>
        <w:numPr>
          <w:ilvl w:val="0"/>
          <w:numId w:val="3"/>
        </w:numPr>
        <w:spacing w:after="120"/>
        <w:rPr>
          <w:rFonts w:ascii="TitilliumText25L" w:eastAsiaTheme="minorHAnsi" w:hAnsi="TitilliumText25L" w:cstheme="minorHAnsi"/>
        </w:rPr>
      </w:pPr>
      <w:r w:rsidRPr="00C169DB">
        <w:rPr>
          <w:rFonts w:ascii="TitilliumText25L" w:eastAsiaTheme="minorHAnsi" w:hAnsi="TitilliumText25L" w:cstheme="minorHAnsi"/>
        </w:rPr>
        <w:t xml:space="preserve">7.1.3 Action is taken to </w:t>
      </w:r>
      <w:r w:rsidRPr="00C169DB">
        <w:rPr>
          <w:rFonts w:ascii="TitilliumText25L" w:eastAsiaTheme="minorHAnsi" w:hAnsi="TitilliumText25L" w:cstheme="minorHAnsi"/>
          <w:b/>
        </w:rPr>
        <w:t>increase the safety &amp; appropriateness</w:t>
      </w:r>
      <w:r w:rsidRPr="00C169DB">
        <w:rPr>
          <w:rFonts w:ascii="TitilliumText25L" w:eastAsiaTheme="minorHAnsi" w:hAnsi="TitilliumText25L" w:cstheme="minorHAnsi"/>
        </w:rPr>
        <w:t xml:space="preserve"> of prescribing &amp; clinically using blood &amp; blood products</w:t>
      </w:r>
    </w:p>
    <w:p w:rsidR="00D66A60" w:rsidRPr="00C169DB" w:rsidRDefault="00D66A60" w:rsidP="00E97296">
      <w:pPr>
        <w:numPr>
          <w:ilvl w:val="0"/>
          <w:numId w:val="3"/>
        </w:numPr>
        <w:spacing w:after="120"/>
        <w:rPr>
          <w:rFonts w:ascii="TitilliumText25L" w:eastAsiaTheme="minorHAnsi" w:hAnsi="TitilliumText25L" w:cstheme="minorHAnsi"/>
        </w:rPr>
      </w:pPr>
      <w:r w:rsidRPr="00C169DB">
        <w:rPr>
          <w:rFonts w:ascii="TitilliumText25L" w:eastAsiaTheme="minorHAnsi" w:hAnsi="TitilliumText25L" w:cstheme="minorHAnsi"/>
        </w:rPr>
        <w:t xml:space="preserve">7.2.2 Action is taken to </w:t>
      </w:r>
      <w:r w:rsidRPr="00C169DB">
        <w:rPr>
          <w:rFonts w:ascii="TitilliumText25L" w:eastAsiaTheme="minorHAnsi" w:hAnsi="TitilliumText25L" w:cstheme="minorHAnsi"/>
          <w:b/>
        </w:rPr>
        <w:t>reduce the risks</w:t>
      </w:r>
      <w:r w:rsidRPr="00C169DB">
        <w:rPr>
          <w:rFonts w:ascii="TitilliumText25L" w:eastAsiaTheme="minorHAnsi" w:hAnsi="TitilliumText25L" w:cstheme="minorHAnsi"/>
        </w:rPr>
        <w:t xml:space="preserve"> associated with transfusion practices &amp; the clinical use of blood and blood products</w:t>
      </w:r>
    </w:p>
    <w:p w:rsidR="00095F87" w:rsidRPr="00C169DB" w:rsidRDefault="00D02BD6" w:rsidP="00E97296">
      <w:pPr>
        <w:numPr>
          <w:ilvl w:val="0"/>
          <w:numId w:val="3"/>
        </w:numPr>
        <w:spacing w:after="120"/>
        <w:rPr>
          <w:rFonts w:ascii="TitilliumText25L" w:eastAsiaTheme="minorHAnsi" w:hAnsi="TitilliumText25L" w:cstheme="minorHAnsi"/>
        </w:rPr>
      </w:pPr>
      <w:r w:rsidRPr="00D02BD6">
        <w:rPr>
          <w:rFonts w:ascii="TitilliumText25L" w:hAnsi="TitilliumText25L"/>
          <w:noProof/>
          <w:lang w:eastAsia="en-AU"/>
        </w:rPr>
        <w:drawing>
          <wp:anchor distT="0" distB="0" distL="114300" distR="114300" simplePos="0" relativeHeight="251678720" behindDoc="0" locked="0" layoutInCell="1" allowOverlap="1" wp14:anchorId="118D2570" wp14:editId="6EE1FA7F">
            <wp:simplePos x="0" y="0"/>
            <wp:positionH relativeFrom="column">
              <wp:posOffset>1934309</wp:posOffset>
            </wp:positionH>
            <wp:positionV relativeFrom="paragraph">
              <wp:posOffset>388083</wp:posOffset>
            </wp:positionV>
            <wp:extent cx="2708030" cy="1158354"/>
            <wp:effectExtent l="0" t="0" r="0" b="3810"/>
            <wp:wrapNone/>
            <wp:docPr id="1028" name="Picture 4" descr="C:\Users\ROBERJ\AppData\Local\Microsoft\Windows\Temporary Internet Files\Content.Outlook\XERKAF7S\NSQHS Standards Logo JP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ROBERJ\AppData\Local\Microsoft\Windows\Temporary Internet Files\Content.Outlook\XERKAF7S\NSQHS Standards Logo JPEG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8031" cy="1158354"/>
                    </a:xfrm>
                    <a:prstGeom prst="rect">
                      <a:avLst/>
                    </a:prstGeom>
                    <a:noFill/>
                    <a:extLst/>
                  </pic:spPr>
                </pic:pic>
              </a:graphicData>
            </a:graphic>
            <wp14:sizeRelH relativeFrom="margin">
              <wp14:pctWidth>0</wp14:pctWidth>
            </wp14:sizeRelH>
            <wp14:sizeRelV relativeFrom="margin">
              <wp14:pctHeight>0</wp14:pctHeight>
            </wp14:sizeRelV>
          </wp:anchor>
        </w:drawing>
      </w:r>
      <w:r w:rsidR="00D66A60" w:rsidRPr="00C169DB">
        <w:rPr>
          <w:rFonts w:ascii="TitilliumText25L" w:eastAsiaTheme="minorHAnsi" w:hAnsi="TitilliumText25L" w:cstheme="minorHAnsi"/>
        </w:rPr>
        <w:t xml:space="preserve">7.4.1 Quality improvement activities are undertaken to </w:t>
      </w:r>
      <w:r w:rsidR="00D66A60" w:rsidRPr="00C169DB">
        <w:rPr>
          <w:rFonts w:ascii="TitilliumText25L" w:eastAsiaTheme="minorHAnsi" w:hAnsi="TitilliumText25L" w:cstheme="minorHAnsi"/>
          <w:b/>
        </w:rPr>
        <w:t>reduce the risks</w:t>
      </w:r>
      <w:r w:rsidR="00D66A60" w:rsidRPr="00C169DB">
        <w:rPr>
          <w:rFonts w:ascii="TitilliumText25L" w:eastAsiaTheme="minorHAnsi" w:hAnsi="TitilliumText25L" w:cstheme="minorHAnsi"/>
        </w:rPr>
        <w:t xml:space="preserve"> of patient harm from transfusion practices &amp; the clinical use of blood &amp; blood products</w:t>
      </w:r>
      <w:r w:rsidR="005A0DCA" w:rsidRPr="00C169DB">
        <w:rPr>
          <w:rFonts w:ascii="TitilliumText25L" w:eastAsiaTheme="minorHAnsi" w:hAnsi="TitilliumText25L" w:cstheme="minorHAnsi"/>
        </w:rPr>
        <w:t xml:space="preserve">. </w:t>
      </w:r>
      <w:r w:rsidR="009230DD" w:rsidRPr="00C169DB">
        <w:rPr>
          <w:rFonts w:ascii="TitilliumText25L" w:eastAsiaTheme="minorHAnsi" w:hAnsi="TitilliumText25L" w:cstheme="minorHAnsi"/>
        </w:rPr>
        <w:t>R</w:t>
      </w:r>
      <w:r w:rsidR="00BF072B" w:rsidRPr="00C169DB">
        <w:rPr>
          <w:rFonts w:ascii="TitilliumText25L" w:eastAsiaTheme="minorHAnsi" w:hAnsi="TitilliumText25L" w:cstheme="minorHAnsi"/>
        </w:rPr>
        <w:t xml:space="preserve">esources to support </w:t>
      </w:r>
      <w:r w:rsidR="008F0513" w:rsidRPr="00C169DB">
        <w:rPr>
          <w:rFonts w:ascii="TitilliumText25L" w:eastAsiaTheme="minorHAnsi" w:hAnsi="TitilliumText25L" w:cstheme="minorHAnsi"/>
        </w:rPr>
        <w:t>Single Unit</w:t>
      </w:r>
      <w:r w:rsidR="00B060FF" w:rsidRPr="00C169DB">
        <w:rPr>
          <w:rFonts w:ascii="TitilliumText25L" w:eastAsiaTheme="minorHAnsi" w:hAnsi="TitilliumText25L" w:cstheme="minorHAnsi"/>
        </w:rPr>
        <w:t xml:space="preserve"> </w:t>
      </w:r>
      <w:r w:rsidR="005E45D7" w:rsidRPr="00C169DB">
        <w:rPr>
          <w:rFonts w:ascii="TitilliumText25L" w:eastAsiaTheme="minorHAnsi" w:hAnsi="TitilliumText25L" w:cstheme="minorHAnsi"/>
        </w:rPr>
        <w:t xml:space="preserve">Transfusion </w:t>
      </w:r>
    </w:p>
    <w:p w:rsidR="00F93A2A" w:rsidRPr="00C169DB" w:rsidRDefault="00F93A2A" w:rsidP="00095F87">
      <w:pPr>
        <w:rPr>
          <w:rFonts w:ascii="TitilliumText25L" w:hAnsi="TitilliumText25L"/>
        </w:rPr>
      </w:pPr>
    </w:p>
    <w:p w:rsidR="00D02BD6" w:rsidRDefault="00D02BD6" w:rsidP="009325F7">
      <w:pPr>
        <w:pStyle w:val="Heading2"/>
        <w:spacing w:before="240" w:line="276" w:lineRule="auto"/>
        <w:rPr>
          <w:rFonts w:ascii="TitilliumText25L" w:hAnsi="TitilliumText25L"/>
        </w:rPr>
      </w:pPr>
    </w:p>
    <w:p w:rsidR="004A109C" w:rsidRDefault="004A109C">
      <w:pPr>
        <w:rPr>
          <w:rFonts w:ascii="TitilliumText25L" w:hAnsi="TitilliumText25L" w:cs="Arial"/>
          <w:sz w:val="36"/>
          <w:szCs w:val="36"/>
        </w:rPr>
      </w:pPr>
      <w:r>
        <w:rPr>
          <w:rFonts w:ascii="TitilliumText25L" w:hAnsi="TitilliumText25L"/>
        </w:rPr>
        <w:br w:type="page"/>
      </w:r>
    </w:p>
    <w:p w:rsidR="004A109C" w:rsidRPr="00C169DB" w:rsidRDefault="004A109C" w:rsidP="004A109C">
      <w:pPr>
        <w:pStyle w:val="Heading2"/>
        <w:spacing w:before="240" w:line="276" w:lineRule="auto"/>
        <w:rPr>
          <w:rFonts w:ascii="TitilliumText25L" w:hAnsi="TitilliumText25L"/>
        </w:rPr>
      </w:pPr>
      <w:bookmarkStart w:id="11" w:name="_Toc390423659"/>
      <w:r w:rsidRPr="00C169DB">
        <w:rPr>
          <w:rFonts w:ascii="TitilliumText25L" w:hAnsi="TitilliumText25L"/>
        </w:rPr>
        <w:t>Resources</w:t>
      </w:r>
      <w:bookmarkEnd w:id="11"/>
    </w:p>
    <w:p w:rsidR="004A109C" w:rsidRDefault="004A109C" w:rsidP="004A109C">
      <w:pPr>
        <w:spacing w:after="120"/>
        <w:rPr>
          <w:rFonts w:ascii="TitilliumText25L" w:hAnsi="TitilliumText25L"/>
        </w:rPr>
      </w:pPr>
      <w:r w:rsidRPr="00C169DB">
        <w:rPr>
          <w:rFonts w:ascii="TitilliumText25L" w:hAnsi="TitilliumText25L"/>
        </w:rPr>
        <w:t xml:space="preserve">The following resources may assist with the implementation of a Single Unit Transfusion guideline.  The resources listed below and example PowerPoint presentation, newsletter and posters are also available from the </w:t>
      </w:r>
      <w:hyperlink r:id="rId27" w:history="1">
        <w:r w:rsidRPr="00C169DB">
          <w:rPr>
            <w:rStyle w:val="Hyperlink"/>
            <w:rFonts w:ascii="TitilliumText25L" w:hAnsi="TitilliumText25L"/>
          </w:rPr>
          <w:t>http://www.blood.gov.au/single-unit-transfusion</w:t>
        </w:r>
      </w:hyperlink>
      <w:r w:rsidRPr="00C169DB">
        <w:rPr>
          <w:rFonts w:ascii="TitilliumText25L" w:hAnsi="TitilliumText25L"/>
        </w:rPr>
        <w:t xml:space="preserve"> page on the NBA website in word format, to allow alteration to suit local requirements.</w:t>
      </w:r>
    </w:p>
    <w:p w:rsidR="004A109C" w:rsidRDefault="004A109C" w:rsidP="004A109C">
      <w:pPr>
        <w:spacing w:after="120"/>
        <w:rPr>
          <w:rFonts w:ascii="TitilliumText25L" w:hAnsi="TitilliumText25L"/>
        </w:rPr>
      </w:pPr>
    </w:p>
    <w:p w:rsidR="004A109C" w:rsidRPr="00C169DB" w:rsidRDefault="004A109C" w:rsidP="004A109C">
      <w:pPr>
        <w:spacing w:after="120"/>
        <w:rPr>
          <w:rFonts w:ascii="TitilliumText25L" w:hAnsi="TitilliumText25L"/>
        </w:rPr>
      </w:pPr>
      <w:r w:rsidRPr="00435D8B">
        <w:rPr>
          <w:noProof/>
          <w:lang w:eastAsia="en-AU"/>
        </w:rPr>
        <w:t xml:space="preserve"> </w:t>
      </w:r>
      <w:r>
        <w:rPr>
          <w:noProof/>
          <w:lang w:eastAsia="en-AU"/>
        </w:rPr>
        <w:drawing>
          <wp:inline distT="0" distB="0" distL="0" distR="0" wp14:anchorId="62C9D3E7" wp14:editId="73D340EC">
            <wp:extent cx="2892669" cy="391257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93793" cy="3914096"/>
                    </a:xfrm>
                    <a:prstGeom prst="rect">
                      <a:avLst/>
                    </a:prstGeom>
                  </pic:spPr>
                </pic:pic>
              </a:graphicData>
            </a:graphic>
          </wp:inline>
        </w:drawing>
      </w:r>
      <w:r>
        <w:rPr>
          <w:noProof/>
          <w:lang w:eastAsia="en-AU"/>
        </w:rPr>
        <w:drawing>
          <wp:inline distT="0" distB="0" distL="0" distR="0" wp14:anchorId="0A6E8F2E" wp14:editId="4E778B56">
            <wp:extent cx="2971800" cy="3912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1799" cy="3912115"/>
                    </a:xfrm>
                    <a:prstGeom prst="rect">
                      <a:avLst/>
                    </a:prstGeom>
                  </pic:spPr>
                </pic:pic>
              </a:graphicData>
            </a:graphic>
          </wp:inline>
        </w:drawing>
      </w:r>
    </w:p>
    <w:p w:rsidR="004A109C" w:rsidRPr="00C169DB" w:rsidRDefault="004A109C" w:rsidP="004A109C">
      <w:pPr>
        <w:spacing w:after="0"/>
        <w:rPr>
          <w:rFonts w:ascii="TitilliumText25L" w:hAnsi="TitilliumText25L"/>
        </w:rPr>
      </w:pPr>
      <w:r w:rsidRPr="00C169DB">
        <w:rPr>
          <w:rFonts w:ascii="TitilliumText25L" w:hAnsi="TitilliumText25L"/>
          <w:b/>
        </w:rPr>
        <w:t>Example Clinical Guideline</w:t>
      </w:r>
      <w:r w:rsidRPr="00C169DB">
        <w:rPr>
          <w:rFonts w:ascii="TitilliumText25L" w:hAnsi="TitilliumText25L"/>
        </w:rPr>
        <w:t xml:space="preserve"> </w:t>
      </w:r>
      <w:r w:rsidRPr="00C169DB">
        <w:rPr>
          <w:rFonts w:ascii="TitilliumText25L" w:hAnsi="TitilliumText25L"/>
          <w:b/>
        </w:rPr>
        <w:t>Format - Appendix 1:</w:t>
      </w:r>
    </w:p>
    <w:p w:rsidR="004A109C" w:rsidRPr="00C169DB" w:rsidRDefault="004A109C" w:rsidP="004A109C">
      <w:pPr>
        <w:spacing w:after="120"/>
        <w:rPr>
          <w:rFonts w:ascii="TitilliumText25L" w:hAnsi="TitilliumText25L"/>
        </w:rPr>
      </w:pPr>
      <w:r w:rsidRPr="00C169DB">
        <w:rPr>
          <w:rFonts w:ascii="TitilliumText25L" w:hAnsi="TitilliumText25L"/>
        </w:rPr>
        <w:t>This is an example of the information presented in a Clinical Guideline Format that can be adapted to your local Clinical Guideline. It is recognised that clinical guideline formats vary nationally; this format is representative of one local health network.</w:t>
      </w:r>
    </w:p>
    <w:p w:rsidR="004A109C" w:rsidRPr="00C169DB" w:rsidRDefault="004A109C" w:rsidP="004A109C">
      <w:pPr>
        <w:spacing w:after="0"/>
        <w:rPr>
          <w:rFonts w:ascii="TitilliumText25L" w:hAnsi="TitilliumText25L"/>
          <w:b/>
        </w:rPr>
      </w:pPr>
      <w:r w:rsidRPr="00C169DB">
        <w:rPr>
          <w:rFonts w:ascii="TitilliumText25L" w:hAnsi="TitilliumText25L"/>
          <w:b/>
        </w:rPr>
        <w:t>Consideration and Guidance for Implementation - Appendix 2:</w:t>
      </w:r>
    </w:p>
    <w:p w:rsidR="004A109C" w:rsidRPr="00C169DB" w:rsidRDefault="004A109C" w:rsidP="004A109C">
      <w:pPr>
        <w:spacing w:after="120"/>
        <w:rPr>
          <w:rFonts w:ascii="TitilliumText25L" w:hAnsi="TitilliumText25L"/>
        </w:rPr>
      </w:pPr>
      <w:r w:rsidRPr="00C169DB">
        <w:rPr>
          <w:rFonts w:ascii="TitilliumText25L" w:hAnsi="TitilliumText25L"/>
        </w:rPr>
        <w:t xml:space="preserve">To present to the hospital Transfusion Governance Committee / Patient Blood Management Committee seeking agreement to the guideline and details of how it would be implemented. </w:t>
      </w:r>
    </w:p>
    <w:p w:rsidR="004A109C" w:rsidRPr="00C169DB" w:rsidRDefault="004A109C" w:rsidP="004A109C">
      <w:pPr>
        <w:spacing w:after="0"/>
        <w:rPr>
          <w:rFonts w:ascii="TitilliumText25L" w:hAnsi="TitilliumText25L"/>
          <w:b/>
        </w:rPr>
      </w:pPr>
      <w:r w:rsidRPr="00C169DB">
        <w:rPr>
          <w:rFonts w:ascii="TitilliumText25L" w:hAnsi="TitilliumText25L"/>
          <w:b/>
        </w:rPr>
        <w:t>Example Handout Summary -  Appendix 3:</w:t>
      </w:r>
      <w:r w:rsidRPr="00435D8B">
        <w:rPr>
          <w:noProof/>
          <w:lang w:eastAsia="en-AU"/>
        </w:rPr>
        <w:t xml:space="preserve"> </w:t>
      </w:r>
    </w:p>
    <w:p w:rsidR="004A109C" w:rsidRDefault="004A109C" w:rsidP="004A109C">
      <w:pPr>
        <w:spacing w:after="120"/>
        <w:rPr>
          <w:rFonts w:ascii="TitilliumText25L" w:hAnsi="TitilliumText25L"/>
        </w:rPr>
      </w:pPr>
      <w:r w:rsidRPr="00C169DB">
        <w:rPr>
          <w:rFonts w:ascii="TitilliumText25L" w:hAnsi="TitilliumText25L"/>
        </w:rPr>
        <w:t>A one page summary of Single Unit Transfusion information that can be used as a handout.</w:t>
      </w:r>
    </w:p>
    <w:p w:rsidR="004A109C" w:rsidRPr="00C169DB" w:rsidRDefault="004A109C" w:rsidP="004A109C">
      <w:pPr>
        <w:pStyle w:val="Heading2"/>
        <w:spacing w:before="240" w:line="276" w:lineRule="auto"/>
        <w:rPr>
          <w:rFonts w:ascii="TitilliumText25L" w:hAnsi="TitilliumText25L"/>
        </w:rPr>
      </w:pPr>
      <w:bookmarkStart w:id="12" w:name="_Toc390423660"/>
      <w:r w:rsidRPr="00C169DB">
        <w:rPr>
          <w:rFonts w:ascii="TitilliumText25L" w:hAnsi="TitilliumText25L"/>
        </w:rPr>
        <w:t>Acknowledgements</w:t>
      </w:r>
      <w:bookmarkEnd w:id="12"/>
    </w:p>
    <w:p w:rsidR="004A109C" w:rsidRPr="00C169DB" w:rsidRDefault="004A109C" w:rsidP="004A109C">
      <w:pPr>
        <w:pStyle w:val="NoSpacing"/>
        <w:spacing w:after="120" w:line="276" w:lineRule="auto"/>
        <w:contextualSpacing/>
        <w:rPr>
          <w:rFonts w:ascii="TitilliumText25L" w:hAnsi="TitilliumText25L"/>
          <w:lang w:val="en-GB"/>
        </w:rPr>
      </w:pPr>
      <w:r w:rsidRPr="00C169DB">
        <w:rPr>
          <w:rFonts w:ascii="TitilliumText25L" w:eastAsiaTheme="minorHAnsi" w:hAnsi="TitilliumText25L" w:cstheme="minorBidi"/>
          <w:lang w:val="en-GB"/>
        </w:rPr>
        <w:t>The National Blood Authority extends their appreciation to</w:t>
      </w:r>
      <w:r w:rsidRPr="00C169DB">
        <w:rPr>
          <w:rFonts w:ascii="TitilliumText25L" w:hAnsi="TitilliumText25L"/>
          <w:lang w:val="en-GB"/>
        </w:rPr>
        <w:t xml:space="preserve"> Hunter Area Pathology Service and</w:t>
      </w:r>
    </w:p>
    <w:p w:rsidR="004A109C" w:rsidRPr="00C169DB" w:rsidRDefault="004A109C" w:rsidP="004A109C">
      <w:pPr>
        <w:pStyle w:val="NoSpacing"/>
        <w:spacing w:after="120" w:line="276" w:lineRule="auto"/>
        <w:contextualSpacing/>
        <w:rPr>
          <w:rFonts w:ascii="TitilliumText25L" w:eastAsiaTheme="minorHAnsi" w:hAnsi="TitilliumText25L" w:cstheme="minorBidi"/>
          <w:lang w:val="en-GB"/>
        </w:rPr>
      </w:pPr>
      <w:r w:rsidRPr="00C169DB">
        <w:rPr>
          <w:rFonts w:ascii="TitilliumText25L" w:eastAsiaTheme="minorHAnsi" w:hAnsi="TitilliumText25L" w:cstheme="minorBidi"/>
          <w:lang w:val="en-GB"/>
        </w:rPr>
        <w:t xml:space="preserve">Pathology North, for </w:t>
      </w:r>
      <w:r w:rsidRPr="00C169DB">
        <w:rPr>
          <w:rFonts w:ascii="TitilliumText25L" w:hAnsi="TitilliumText25L"/>
          <w:lang w:val="en-GB"/>
        </w:rPr>
        <w:t xml:space="preserve">their </w:t>
      </w:r>
      <w:r w:rsidRPr="00C169DB">
        <w:rPr>
          <w:rFonts w:ascii="TitilliumText25L" w:eastAsiaTheme="minorHAnsi" w:hAnsi="TitilliumText25L" w:cstheme="minorBidi"/>
          <w:lang w:val="en-GB"/>
        </w:rPr>
        <w:t xml:space="preserve">involvement in the development of this </w:t>
      </w:r>
      <w:r w:rsidRPr="00C169DB">
        <w:rPr>
          <w:rFonts w:ascii="TitilliumText25L" w:hAnsi="TitilliumText25L"/>
          <w:lang w:val="en-GB"/>
        </w:rPr>
        <w:t>guide</w:t>
      </w:r>
      <w:r w:rsidRPr="00C169DB">
        <w:rPr>
          <w:rFonts w:ascii="TitilliumText25L" w:eastAsiaTheme="minorHAnsi" w:hAnsi="TitilliumText25L" w:cstheme="minorBidi"/>
          <w:lang w:val="en-GB"/>
        </w:rPr>
        <w:t>.</w:t>
      </w:r>
    </w:p>
    <w:p w:rsidR="004A109C" w:rsidRPr="00C169DB" w:rsidRDefault="004A109C" w:rsidP="004A109C">
      <w:pPr>
        <w:pStyle w:val="NoSpacing"/>
        <w:spacing w:after="120" w:line="276" w:lineRule="auto"/>
        <w:contextualSpacing/>
        <w:rPr>
          <w:rFonts w:ascii="TitilliumText25L" w:eastAsiaTheme="minorHAnsi" w:hAnsi="TitilliumText25L" w:cstheme="minorBidi"/>
          <w:lang w:val="en-GB"/>
        </w:rPr>
      </w:pPr>
    </w:p>
    <w:p w:rsidR="004A109C" w:rsidRPr="00C169DB" w:rsidRDefault="004A109C" w:rsidP="004A109C">
      <w:pPr>
        <w:pStyle w:val="NoSpacing"/>
        <w:spacing w:after="120" w:line="276" w:lineRule="auto"/>
        <w:contextualSpacing/>
        <w:rPr>
          <w:rFonts w:ascii="TitilliumText25L" w:hAnsi="TitilliumText25L"/>
        </w:rPr>
      </w:pPr>
      <w:r w:rsidRPr="00C169DB">
        <w:rPr>
          <w:rFonts w:ascii="TitilliumText25L" w:eastAsiaTheme="minorHAnsi" w:hAnsi="TitilliumText25L" w:cstheme="minorBidi"/>
          <w:lang w:val="en-GB"/>
        </w:rPr>
        <w:t>In particular</w:t>
      </w:r>
      <w:r w:rsidRPr="00C169DB">
        <w:rPr>
          <w:rFonts w:ascii="TitilliumText25L" w:hAnsi="TitilliumText25L"/>
          <w:lang w:val="en-GB"/>
        </w:rPr>
        <w:t xml:space="preserve"> t</w:t>
      </w:r>
      <w:r w:rsidRPr="00C169DB">
        <w:rPr>
          <w:rFonts w:ascii="TitilliumText25L" w:eastAsiaTheme="minorHAnsi" w:hAnsi="TitilliumText25L" w:cstheme="minorBidi"/>
          <w:lang w:val="en-GB"/>
        </w:rPr>
        <w:t xml:space="preserve">he National Blood Authority would like to acknowledge the contribution </w:t>
      </w:r>
      <w:r w:rsidRPr="00C169DB">
        <w:rPr>
          <w:rFonts w:ascii="TitilliumText25L" w:hAnsi="TitilliumText25L"/>
          <w:lang w:val="en-GB"/>
        </w:rPr>
        <w:t xml:space="preserve">and expertise </w:t>
      </w:r>
      <w:r w:rsidRPr="00C169DB">
        <w:rPr>
          <w:rFonts w:ascii="TitilliumText25L" w:eastAsiaTheme="minorHAnsi" w:hAnsi="TitilliumText25L" w:cstheme="minorBidi"/>
          <w:lang w:val="en-GB"/>
        </w:rPr>
        <w:t>of Ms Vicki Martens</w:t>
      </w:r>
      <w:r w:rsidRPr="00C169DB">
        <w:rPr>
          <w:rFonts w:ascii="TitilliumText25L" w:hAnsi="TitilliumText25L"/>
          <w:lang w:val="en-GB"/>
        </w:rPr>
        <w:t>, Senior Hospital Scientist, Hunter Area Pathology Service.</w:t>
      </w:r>
    </w:p>
    <w:p w:rsidR="004A109C" w:rsidRDefault="004A109C" w:rsidP="004A109C">
      <w:pPr>
        <w:rPr>
          <w:rFonts w:ascii="TitilliumText25L" w:hAnsi="TitilliumText25L"/>
        </w:rPr>
        <w:sectPr w:rsidR="004A109C" w:rsidSect="004A109C">
          <w:footerReference w:type="default" r:id="rId30"/>
          <w:footnotePr>
            <w:numFmt w:val="lowerLetter"/>
          </w:footnotePr>
          <w:type w:val="continuous"/>
          <w:pgSz w:w="11906" w:h="16838"/>
          <w:pgMar w:top="1560" w:right="1133" w:bottom="993" w:left="1440" w:header="708" w:footer="486" w:gutter="0"/>
          <w:cols w:space="708"/>
          <w:docGrid w:linePitch="360"/>
        </w:sectPr>
      </w:pPr>
    </w:p>
    <w:p w:rsidR="004A109C" w:rsidRDefault="004A109C" w:rsidP="004A109C">
      <w:pPr>
        <w:rPr>
          <w:rFonts w:ascii="TitilliumText25L" w:hAnsi="TitilliumText25L"/>
        </w:rPr>
        <w:sectPr w:rsidR="004A109C" w:rsidSect="00435D8B">
          <w:footnotePr>
            <w:numFmt w:val="lowerLetter"/>
          </w:footnotePr>
          <w:type w:val="continuous"/>
          <w:pgSz w:w="11906" w:h="16838"/>
          <w:pgMar w:top="1560" w:right="1133" w:bottom="993" w:left="1440" w:header="708" w:footer="486" w:gutter="0"/>
          <w:cols w:num="2" w:space="708"/>
          <w:docGrid w:linePitch="360"/>
        </w:sectPr>
      </w:pPr>
    </w:p>
    <w:p w:rsidR="00451D63" w:rsidRPr="00C169DB" w:rsidRDefault="00F5094F" w:rsidP="005A0DCA">
      <w:pPr>
        <w:pStyle w:val="Heading2"/>
        <w:rPr>
          <w:rFonts w:ascii="TitilliumText25L" w:hAnsi="TitilliumText25L"/>
        </w:rPr>
      </w:pPr>
      <w:bookmarkStart w:id="13" w:name="_Toc390423661"/>
      <w:r w:rsidRPr="00C169DB">
        <w:rPr>
          <w:rFonts w:ascii="TitilliumText25L" w:hAnsi="TitilliumText25L"/>
        </w:rPr>
        <w:t>Reference List</w:t>
      </w:r>
      <w:bookmarkEnd w:id="13"/>
    </w:p>
    <w:p w:rsidR="00686A05" w:rsidRPr="00C169DB" w:rsidRDefault="00C11A9F"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lang w:val="en-GB"/>
        </w:rPr>
        <w:fldChar w:fldCharType="begin" w:fldLock="1"/>
      </w:r>
      <w:r w:rsidRPr="00C169DB">
        <w:rPr>
          <w:rFonts w:ascii="TitilliumText25L" w:hAnsi="TitilliumText25L"/>
          <w:lang w:val="en-GB"/>
        </w:rPr>
        <w:instrText xml:space="preserve">ADDIN Mendeley Bibliography CSL_BIBLIOGRAPHY </w:instrText>
      </w:r>
      <w:r w:rsidRPr="00C169DB">
        <w:rPr>
          <w:rFonts w:ascii="TitilliumText25L" w:hAnsi="TitilliumText25L"/>
          <w:lang w:val="en-GB"/>
        </w:rPr>
        <w:fldChar w:fldCharType="separate"/>
      </w:r>
      <w:r w:rsidR="00686A05" w:rsidRPr="00C169DB">
        <w:rPr>
          <w:rFonts w:ascii="TitilliumText25L" w:hAnsi="TitilliumText25L"/>
          <w:noProof/>
        </w:rPr>
        <w:t>1.</w:t>
      </w:r>
      <w:r w:rsidR="00686A05" w:rsidRPr="00C169DB">
        <w:rPr>
          <w:rFonts w:ascii="TitilliumText25L" w:hAnsi="TitilliumText25L"/>
          <w:noProof/>
        </w:rPr>
        <w:tab/>
      </w:r>
      <w:r w:rsidR="00686A05" w:rsidRPr="00C169DB">
        <w:rPr>
          <w:rFonts w:ascii="TitilliumText25L" w:hAnsi="TitilliumText25L" w:cstheme="minorHAnsi"/>
          <w:noProof/>
          <w:sz w:val="22"/>
        </w:rPr>
        <w:t xml:space="preserve">National Blood Authority </w:t>
      </w:r>
      <w:r w:rsidR="00686A05" w:rsidRPr="00C169DB">
        <w:rPr>
          <w:rFonts w:ascii="TitilliumText25L" w:hAnsi="TitilliumText25L" w:cstheme="minorHAnsi"/>
          <w:iCs/>
          <w:noProof/>
          <w:sz w:val="22"/>
        </w:rPr>
        <w:t>Patient blood management guidelines: Module 3 – Medical</w:t>
      </w:r>
      <w:r w:rsidR="00686A05" w:rsidRPr="00C169DB">
        <w:rPr>
          <w:rFonts w:ascii="TitilliumText25L" w:hAnsi="TitilliumText25L" w:cstheme="minorHAnsi"/>
          <w:noProof/>
          <w:sz w:val="22"/>
        </w:rPr>
        <w:t>. (National Blood Authority: Canberra, Australia, 2012).at &lt;</w:t>
      </w:r>
      <w:hyperlink r:id="rId31" w:history="1">
        <w:r w:rsidR="00686A05" w:rsidRPr="00C169DB">
          <w:rPr>
            <w:rStyle w:val="Hyperlink"/>
            <w:rFonts w:ascii="TitilliumText25L" w:hAnsi="TitilliumText25L" w:cstheme="minorHAnsi"/>
            <w:noProof/>
            <w:sz w:val="22"/>
          </w:rPr>
          <w:t>http://www.blood.gov.au/pbm-guidelines</w:t>
        </w:r>
      </w:hyperlink>
      <w:r w:rsidR="00686A05" w:rsidRPr="00C169DB">
        <w:rPr>
          <w:rFonts w:ascii="TitilliumText25L" w:hAnsi="TitilliumText25L" w:cstheme="minorHAnsi"/>
          <w:noProof/>
          <w:sz w:val="22"/>
        </w:rPr>
        <w:t>&gt;</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2.</w:t>
      </w:r>
      <w:r w:rsidRPr="00C169DB">
        <w:rPr>
          <w:rFonts w:ascii="TitilliumText25L" w:hAnsi="TitilliumText25L" w:cstheme="minorHAnsi"/>
          <w:noProof/>
          <w:sz w:val="22"/>
        </w:rPr>
        <w:tab/>
        <w:t xml:space="preserve">National Blood Authority </w:t>
      </w:r>
      <w:r w:rsidRPr="00C169DB">
        <w:rPr>
          <w:rFonts w:ascii="TitilliumText25L" w:hAnsi="TitilliumText25L" w:cstheme="minorHAnsi"/>
          <w:iCs/>
          <w:noProof/>
          <w:sz w:val="22"/>
        </w:rPr>
        <w:t>Patient blood management guidelines: Module 2 – Perioperative.</w:t>
      </w:r>
      <w:r w:rsidRPr="00C169DB">
        <w:rPr>
          <w:rFonts w:ascii="TitilliumText25L" w:hAnsi="TitilliumText25L" w:cstheme="minorHAnsi"/>
          <w:noProof/>
          <w:sz w:val="22"/>
        </w:rPr>
        <w:t xml:space="preserve"> (Canberra, Australia, 2012).at &lt;</w:t>
      </w:r>
      <w:hyperlink r:id="rId32" w:history="1">
        <w:r w:rsidRPr="00C169DB">
          <w:rPr>
            <w:rStyle w:val="Hyperlink"/>
            <w:rFonts w:ascii="TitilliumText25L" w:hAnsi="TitilliumText25L" w:cstheme="minorHAnsi"/>
            <w:noProof/>
            <w:sz w:val="22"/>
          </w:rPr>
          <w:t>http://www.blood.gov.au/pbm-guidelines</w:t>
        </w:r>
      </w:hyperlink>
      <w:r w:rsidRPr="00C169DB">
        <w:rPr>
          <w:rFonts w:ascii="TitilliumText25L" w:hAnsi="TitilliumText25L" w:cstheme="minorHAnsi"/>
          <w:noProof/>
          <w:sz w:val="22"/>
        </w:rPr>
        <w:t xml:space="preserve"> &gt;</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3.</w:t>
      </w:r>
      <w:r w:rsidRPr="00C169DB">
        <w:rPr>
          <w:rFonts w:ascii="TitilliumText25L" w:hAnsi="TitilliumText25L" w:cstheme="minorHAnsi"/>
          <w:noProof/>
          <w:sz w:val="22"/>
        </w:rPr>
        <w:tab/>
        <w:t xml:space="preserve">National Blood Authority </w:t>
      </w:r>
      <w:r w:rsidRPr="00C169DB">
        <w:rPr>
          <w:rFonts w:ascii="TitilliumText25L" w:hAnsi="TitilliumText25L" w:cstheme="minorHAnsi"/>
          <w:iCs/>
          <w:noProof/>
          <w:sz w:val="22"/>
        </w:rPr>
        <w:t>Patient blood management guidelines: Module 4 – Critical Care</w:t>
      </w:r>
      <w:r w:rsidRPr="00C169DB">
        <w:rPr>
          <w:rFonts w:ascii="TitilliumText25L" w:hAnsi="TitilliumText25L" w:cstheme="minorHAnsi"/>
          <w:noProof/>
          <w:sz w:val="22"/>
        </w:rPr>
        <w:t>. (Canberra, Australia, 2013).at &lt;</w:t>
      </w:r>
      <w:hyperlink r:id="rId33" w:history="1">
        <w:r w:rsidRPr="00C169DB">
          <w:rPr>
            <w:rStyle w:val="Hyperlink"/>
            <w:rFonts w:ascii="TitilliumText25L" w:hAnsi="TitilliumText25L" w:cstheme="minorHAnsi"/>
            <w:noProof/>
            <w:sz w:val="22"/>
          </w:rPr>
          <w:t>http://www.blood.gov.au/pbm-guidelines</w:t>
        </w:r>
      </w:hyperlink>
      <w:r w:rsidRPr="00C169DB">
        <w:rPr>
          <w:rFonts w:ascii="TitilliumText25L" w:hAnsi="TitilliumText25L" w:cstheme="minorHAnsi"/>
          <w:noProof/>
          <w:sz w:val="22"/>
        </w:rPr>
        <w:t>&gt;</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4.</w:t>
      </w:r>
      <w:r w:rsidRPr="00C169DB">
        <w:rPr>
          <w:rFonts w:ascii="TitilliumText25L" w:hAnsi="TitilliumText25L" w:cstheme="minorHAnsi"/>
          <w:noProof/>
          <w:sz w:val="22"/>
        </w:rPr>
        <w:tab/>
        <w:t xml:space="preserve">Webert, K. E. </w:t>
      </w:r>
      <w:r w:rsidRPr="00C169DB">
        <w:rPr>
          <w:rFonts w:ascii="TitilliumText25L" w:hAnsi="TitilliumText25L" w:cstheme="minorHAnsi"/>
          <w:iCs/>
          <w:noProof/>
          <w:sz w:val="22"/>
        </w:rPr>
        <w:t>et al.</w:t>
      </w:r>
      <w:r w:rsidRPr="00C169DB">
        <w:rPr>
          <w:rFonts w:ascii="TitilliumText25L" w:hAnsi="TitilliumText25L" w:cstheme="minorHAnsi"/>
          <w:noProof/>
          <w:sz w:val="22"/>
        </w:rPr>
        <w:t xml:space="preserve"> A new tool to assess bleeding severity in patients with chemotherapy-induced thrmbocytopaenia. </w:t>
      </w:r>
      <w:r w:rsidRPr="00C169DB">
        <w:rPr>
          <w:rFonts w:ascii="TitilliumText25L" w:hAnsi="TitilliumText25L" w:cstheme="minorHAnsi"/>
          <w:iCs/>
          <w:noProof/>
          <w:sz w:val="22"/>
        </w:rPr>
        <w:t>Transfusion Practice</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52</w:t>
      </w:r>
      <w:r w:rsidRPr="00C169DB">
        <w:rPr>
          <w:rFonts w:ascii="TitilliumText25L" w:hAnsi="TitilliumText25L" w:cstheme="minorHAnsi"/>
          <w:noProof/>
          <w:sz w:val="22"/>
        </w:rPr>
        <w:t>, 2466–2474 (2012).</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5.</w:t>
      </w:r>
      <w:r w:rsidRPr="00C169DB">
        <w:rPr>
          <w:rFonts w:ascii="TitilliumText25L" w:hAnsi="TitilliumText25L" w:cstheme="minorHAnsi"/>
          <w:noProof/>
          <w:sz w:val="22"/>
        </w:rPr>
        <w:tab/>
        <w:t xml:space="preserve">Carson, J. L. Red blood cell transfusion: a clinical practice guideline from the AABB. </w:t>
      </w:r>
      <w:r w:rsidRPr="00C169DB">
        <w:rPr>
          <w:rFonts w:ascii="TitilliumText25L" w:hAnsi="TitilliumText25L" w:cstheme="minorHAnsi"/>
          <w:iCs/>
          <w:noProof/>
          <w:sz w:val="22"/>
        </w:rPr>
        <w:t>Annals of Internal Medicine</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157</w:t>
      </w:r>
      <w:r w:rsidRPr="00C169DB">
        <w:rPr>
          <w:rFonts w:ascii="TitilliumText25L" w:hAnsi="TitilliumText25L" w:cstheme="minorHAnsi"/>
          <w:noProof/>
          <w:sz w:val="22"/>
        </w:rPr>
        <w:t>, 49–58 (2012).</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6.</w:t>
      </w:r>
      <w:r w:rsidRPr="00C169DB">
        <w:rPr>
          <w:rFonts w:ascii="TitilliumText25L" w:hAnsi="TitilliumText25L" w:cstheme="minorHAnsi"/>
          <w:noProof/>
          <w:sz w:val="22"/>
        </w:rPr>
        <w:tab/>
        <w:t xml:space="preserve">Rossi, E. C. Anaemia and Red cell Transfusion. </w:t>
      </w:r>
      <w:r w:rsidRPr="00C169DB">
        <w:rPr>
          <w:rFonts w:ascii="TitilliumText25L" w:hAnsi="TitilliumText25L" w:cstheme="minorHAnsi"/>
          <w:iCs/>
          <w:noProof/>
          <w:sz w:val="22"/>
        </w:rPr>
        <w:t>Principles of Transfusion Medicine, Second edition</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w:t>
      </w:r>
      <w:r w:rsidRPr="00C169DB">
        <w:rPr>
          <w:rFonts w:ascii="TitilliumText25L" w:hAnsi="TitilliumText25L" w:cstheme="minorHAnsi"/>
          <w:noProof/>
          <w:sz w:val="22"/>
        </w:rPr>
        <w:t>, (1996).</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7.</w:t>
      </w:r>
      <w:r w:rsidRPr="00C169DB">
        <w:rPr>
          <w:rFonts w:ascii="TitilliumText25L" w:hAnsi="TitilliumText25L" w:cstheme="minorHAnsi"/>
          <w:noProof/>
          <w:sz w:val="22"/>
        </w:rPr>
        <w:tab/>
        <w:t xml:space="preserve">Shander, A. A new perspective on best transfusion practices. </w:t>
      </w:r>
      <w:r w:rsidRPr="00C169DB">
        <w:rPr>
          <w:rFonts w:ascii="TitilliumText25L" w:hAnsi="TitilliumText25L" w:cstheme="minorHAnsi"/>
          <w:iCs/>
          <w:noProof/>
          <w:sz w:val="22"/>
        </w:rPr>
        <w:t>Review Blood Transfus</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w:t>
      </w:r>
      <w:r w:rsidRPr="00C169DB">
        <w:rPr>
          <w:rFonts w:ascii="TitilliumText25L" w:hAnsi="TitilliumText25L" w:cstheme="minorHAnsi"/>
          <w:noProof/>
          <w:sz w:val="22"/>
        </w:rPr>
        <w:t>, (2012).</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8.</w:t>
      </w:r>
      <w:r w:rsidRPr="00C169DB">
        <w:rPr>
          <w:rFonts w:ascii="TitilliumText25L" w:hAnsi="TitilliumText25L" w:cstheme="minorHAnsi"/>
          <w:noProof/>
          <w:sz w:val="22"/>
        </w:rPr>
        <w:tab/>
        <w:t xml:space="preserve">Ma, M., Eckert, K., Ralley, F. &amp; Chin-Yee, I. A retrospective study evaluating single-unit red blood cell transfusions in reducing allogeneic blood exposure. </w:t>
      </w:r>
      <w:r w:rsidRPr="00C169DB">
        <w:rPr>
          <w:rFonts w:ascii="TitilliumText25L" w:hAnsi="TitilliumText25L" w:cstheme="minorHAnsi"/>
          <w:iCs/>
          <w:noProof/>
          <w:sz w:val="22"/>
        </w:rPr>
        <w:t>Transfusion Medicine</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15</w:t>
      </w:r>
      <w:r w:rsidRPr="00C169DB">
        <w:rPr>
          <w:rFonts w:ascii="TitilliumText25L" w:hAnsi="TitilliumText25L" w:cstheme="minorHAnsi"/>
          <w:noProof/>
          <w:sz w:val="22"/>
        </w:rPr>
        <w:t>, 307–312 (2005).</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9.</w:t>
      </w:r>
      <w:r w:rsidRPr="00C169DB">
        <w:rPr>
          <w:rFonts w:ascii="TitilliumText25L" w:hAnsi="TitilliumText25L" w:cstheme="minorHAnsi"/>
          <w:noProof/>
          <w:sz w:val="22"/>
        </w:rPr>
        <w:tab/>
        <w:t xml:space="preserve">Berger, M. D. </w:t>
      </w:r>
      <w:r w:rsidRPr="00C169DB">
        <w:rPr>
          <w:rFonts w:ascii="TitilliumText25L" w:hAnsi="TitilliumText25L" w:cstheme="minorHAnsi"/>
          <w:iCs/>
          <w:noProof/>
          <w:sz w:val="22"/>
        </w:rPr>
        <w:t>et al.</w:t>
      </w:r>
      <w:r w:rsidRPr="00C169DB">
        <w:rPr>
          <w:rFonts w:ascii="TitilliumText25L" w:hAnsi="TitilliumText25L" w:cstheme="minorHAnsi"/>
          <w:noProof/>
          <w:sz w:val="22"/>
        </w:rPr>
        <w:t xml:space="preserve"> Significant reduction of red blood cell transfusion requirements by changing from a double-unit to a single-unit transfusion policy in patients receiving intensive chemotherapy or stem cell transplantation. </w:t>
      </w:r>
      <w:r w:rsidRPr="00C169DB">
        <w:rPr>
          <w:rFonts w:ascii="TitilliumText25L" w:hAnsi="TitilliumText25L" w:cstheme="minorHAnsi"/>
          <w:iCs/>
          <w:noProof/>
          <w:sz w:val="22"/>
        </w:rPr>
        <w:t>haematologica</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97</w:t>
      </w:r>
      <w:r w:rsidRPr="00C169DB">
        <w:rPr>
          <w:rFonts w:ascii="TitilliumText25L" w:hAnsi="TitilliumText25L" w:cstheme="minorHAnsi"/>
          <w:noProof/>
          <w:sz w:val="22"/>
        </w:rPr>
        <w:t>, 116–122 (2012).</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10.</w:t>
      </w:r>
      <w:r w:rsidRPr="00C169DB">
        <w:rPr>
          <w:rFonts w:ascii="TitilliumText25L" w:hAnsi="TitilliumText25L" w:cstheme="minorHAnsi"/>
          <w:noProof/>
          <w:sz w:val="22"/>
        </w:rPr>
        <w:tab/>
        <w:t>Koch CG</w:t>
      </w:r>
      <w:r w:rsidRPr="00C169DB">
        <w:rPr>
          <w:rFonts w:ascii="Courier New" w:hAnsi="Courier New" w:cs="Courier New"/>
          <w:noProof/>
          <w:sz w:val="22"/>
        </w:rPr>
        <w:t> </w:t>
      </w:r>
      <w:r w:rsidRPr="00C169DB">
        <w:rPr>
          <w:rFonts w:ascii="TitilliumText25L" w:hAnsi="TitilliumText25L" w:cstheme="minorHAnsi"/>
          <w:noProof/>
          <w:sz w:val="22"/>
        </w:rPr>
        <w:t xml:space="preserve"> Duncan AI et al, L. L. Morbidity and mortality risk associated with red blood cell and blood-component transfusion in isolated coronary artery bypass grafting. </w:t>
      </w:r>
      <w:r w:rsidRPr="00C169DB">
        <w:rPr>
          <w:rFonts w:ascii="TitilliumText25L" w:hAnsi="TitilliumText25L" w:cstheme="minorHAnsi"/>
          <w:iCs/>
          <w:noProof/>
          <w:sz w:val="22"/>
        </w:rPr>
        <w:t>Crit Care Med 2006</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34</w:t>
      </w:r>
      <w:r w:rsidRPr="00C169DB">
        <w:rPr>
          <w:rFonts w:ascii="TitilliumText25L" w:hAnsi="TitilliumText25L" w:cstheme="minorHAnsi"/>
          <w:noProof/>
          <w:sz w:val="22"/>
        </w:rPr>
        <w:t>, 1608–1616 (2006).</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11.</w:t>
      </w:r>
      <w:r w:rsidRPr="00C169DB">
        <w:rPr>
          <w:rFonts w:ascii="TitilliumText25L" w:hAnsi="TitilliumText25L" w:cstheme="minorHAnsi"/>
          <w:noProof/>
          <w:sz w:val="22"/>
        </w:rPr>
        <w:tab/>
        <w:t xml:space="preserve">Hajjar LA Vincent JL et al. Transfusion requirements after cardiac surgery: the TRACS randomised controlled trial. </w:t>
      </w:r>
      <w:r w:rsidRPr="00C169DB">
        <w:rPr>
          <w:rFonts w:ascii="TitilliumText25L" w:hAnsi="TitilliumText25L" w:cstheme="minorHAnsi"/>
          <w:iCs/>
          <w:noProof/>
          <w:sz w:val="22"/>
        </w:rPr>
        <w:t>JAMA - Journal of the American Medical Association</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304</w:t>
      </w:r>
      <w:r w:rsidRPr="00C169DB">
        <w:rPr>
          <w:rFonts w:ascii="TitilliumText25L" w:hAnsi="TitilliumText25L" w:cstheme="minorHAnsi"/>
          <w:noProof/>
          <w:sz w:val="22"/>
        </w:rPr>
        <w:t>, 304:1559–1567</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12.</w:t>
      </w:r>
      <w:r w:rsidRPr="00C169DB">
        <w:rPr>
          <w:rFonts w:ascii="TitilliumText25L" w:hAnsi="TitilliumText25L" w:cstheme="minorHAnsi"/>
          <w:noProof/>
          <w:sz w:val="22"/>
        </w:rPr>
        <w:tab/>
        <w:t xml:space="preserve">Pasricha, S.-R. </w:t>
      </w:r>
      <w:r w:rsidRPr="00C169DB">
        <w:rPr>
          <w:rFonts w:ascii="TitilliumText25L" w:hAnsi="TitilliumText25L" w:cstheme="minorHAnsi"/>
          <w:iCs/>
          <w:noProof/>
          <w:sz w:val="22"/>
        </w:rPr>
        <w:t>et al.</w:t>
      </w:r>
      <w:r w:rsidRPr="00C169DB">
        <w:rPr>
          <w:rFonts w:ascii="TitilliumText25L" w:hAnsi="TitilliumText25L" w:cstheme="minorHAnsi"/>
          <w:noProof/>
          <w:sz w:val="22"/>
        </w:rPr>
        <w:t xml:space="preserve"> Diagnosis and management of iron deficiency anaemia: a clinical update. </w:t>
      </w:r>
      <w:r w:rsidRPr="00C169DB">
        <w:rPr>
          <w:rFonts w:ascii="TitilliumText25L" w:hAnsi="TitilliumText25L" w:cstheme="minorHAnsi"/>
          <w:iCs/>
          <w:noProof/>
          <w:sz w:val="22"/>
        </w:rPr>
        <w:t>Med J Aust</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198</w:t>
      </w:r>
      <w:r w:rsidRPr="00C169DB">
        <w:rPr>
          <w:rFonts w:ascii="TitilliumText25L" w:hAnsi="TitilliumText25L" w:cstheme="minorHAnsi"/>
          <w:noProof/>
          <w:sz w:val="22"/>
        </w:rPr>
        <w:t>, 525–532 (2010).</w:t>
      </w:r>
    </w:p>
    <w:p w:rsidR="00686A05" w:rsidRPr="00C169DB" w:rsidRDefault="00686A05" w:rsidP="00E97296">
      <w:pPr>
        <w:pStyle w:val="NormalWeb"/>
        <w:spacing w:before="0" w:beforeAutospacing="0" w:after="200" w:afterAutospacing="0"/>
        <w:ind w:left="641" w:hanging="641"/>
        <w:divId w:val="935211197"/>
        <w:rPr>
          <w:rFonts w:ascii="TitilliumText25L" w:hAnsi="TitilliumText25L" w:cstheme="minorHAnsi"/>
          <w:noProof/>
          <w:sz w:val="22"/>
        </w:rPr>
      </w:pPr>
      <w:r w:rsidRPr="00C169DB">
        <w:rPr>
          <w:rFonts w:ascii="TitilliumText25L" w:hAnsi="TitilliumText25L" w:cstheme="minorHAnsi"/>
          <w:noProof/>
          <w:sz w:val="22"/>
        </w:rPr>
        <w:t>13.</w:t>
      </w:r>
      <w:r w:rsidRPr="00C169DB">
        <w:rPr>
          <w:rFonts w:ascii="TitilliumText25L" w:hAnsi="TitilliumText25L" w:cstheme="minorHAnsi"/>
          <w:noProof/>
          <w:sz w:val="22"/>
        </w:rPr>
        <w:tab/>
        <w:t xml:space="preserve">Hofmann, A., Farmer, S. &amp; Shander, A. Five drivers shifting the paradigm from product-focused transfusion practice to patient blood management. </w:t>
      </w:r>
      <w:r w:rsidRPr="00C169DB">
        <w:rPr>
          <w:rFonts w:ascii="TitilliumText25L" w:hAnsi="TitilliumText25L" w:cstheme="minorHAnsi"/>
          <w:iCs/>
          <w:noProof/>
          <w:sz w:val="22"/>
        </w:rPr>
        <w:t>The oncologist</w:t>
      </w:r>
      <w:r w:rsidRPr="00C169DB">
        <w:rPr>
          <w:rFonts w:ascii="TitilliumText25L" w:hAnsi="TitilliumText25L" w:cstheme="minorHAnsi"/>
          <w:noProof/>
          <w:sz w:val="22"/>
        </w:rPr>
        <w:t xml:space="preserve"> </w:t>
      </w:r>
      <w:r w:rsidRPr="00C169DB">
        <w:rPr>
          <w:rFonts w:ascii="TitilliumText25L" w:hAnsi="TitilliumText25L" w:cstheme="minorHAnsi"/>
          <w:b/>
          <w:bCs/>
          <w:noProof/>
          <w:sz w:val="22"/>
        </w:rPr>
        <w:t>16 Suppl 3</w:t>
      </w:r>
      <w:r w:rsidRPr="00C169DB">
        <w:rPr>
          <w:rFonts w:ascii="TitilliumText25L" w:hAnsi="TitilliumText25L" w:cstheme="minorHAnsi"/>
          <w:noProof/>
          <w:sz w:val="22"/>
        </w:rPr>
        <w:t>, 3–11 (2011).</w:t>
      </w:r>
    </w:p>
    <w:p w:rsidR="0024705A" w:rsidRPr="00C169DB" w:rsidRDefault="00686A05" w:rsidP="00E97296">
      <w:pPr>
        <w:pStyle w:val="NormalWeb"/>
        <w:spacing w:before="0" w:beforeAutospacing="0" w:after="200" w:afterAutospacing="0"/>
        <w:ind w:left="641" w:hanging="641"/>
        <w:divId w:val="1100639194"/>
        <w:rPr>
          <w:rFonts w:ascii="TitilliumText25L" w:hAnsi="TitilliumText25L"/>
          <w:lang w:val="en-GB"/>
        </w:rPr>
      </w:pPr>
      <w:r w:rsidRPr="00C169DB">
        <w:rPr>
          <w:rFonts w:ascii="TitilliumText25L" w:hAnsi="TitilliumText25L" w:cstheme="minorHAnsi"/>
          <w:noProof/>
          <w:sz w:val="22"/>
        </w:rPr>
        <w:t>14.</w:t>
      </w:r>
      <w:r w:rsidRPr="00C169DB">
        <w:rPr>
          <w:rFonts w:ascii="TitilliumText25L" w:hAnsi="TitilliumText25L" w:cstheme="minorHAnsi"/>
          <w:noProof/>
          <w:sz w:val="22"/>
        </w:rPr>
        <w:tab/>
        <w:t xml:space="preserve">Australian Commission on Safety and Quality in Healthcare </w:t>
      </w:r>
      <w:r w:rsidRPr="00C169DB">
        <w:rPr>
          <w:rFonts w:ascii="TitilliumText25L" w:hAnsi="TitilliumText25L" w:cstheme="minorHAnsi"/>
          <w:iCs/>
          <w:noProof/>
          <w:sz w:val="22"/>
        </w:rPr>
        <w:t>Safety and Quality Improvement Guide Standard 7: Blood and Blood Products</w:t>
      </w:r>
      <w:r w:rsidRPr="00C169DB">
        <w:rPr>
          <w:rFonts w:ascii="TitilliumText25L" w:hAnsi="TitilliumText25L" w:cstheme="minorHAnsi"/>
          <w:noProof/>
          <w:sz w:val="22"/>
        </w:rPr>
        <w:t xml:space="preserve">. </w:t>
      </w:r>
      <w:r w:rsidRPr="00C169DB">
        <w:rPr>
          <w:rFonts w:ascii="TitilliumText25L" w:hAnsi="TitilliumText25L" w:cstheme="minorHAnsi"/>
          <w:iCs/>
          <w:noProof/>
          <w:sz w:val="22"/>
        </w:rPr>
        <w:t>ACSQHC</w:t>
      </w:r>
      <w:r w:rsidRPr="00C169DB">
        <w:rPr>
          <w:rFonts w:ascii="TitilliumText25L" w:hAnsi="TitilliumText25L" w:cstheme="minorHAnsi"/>
          <w:noProof/>
          <w:sz w:val="22"/>
        </w:rPr>
        <w:t xml:space="preserve"> (2012).at &lt;</w:t>
      </w:r>
      <w:hyperlink r:id="rId34" w:history="1">
        <w:r w:rsidRPr="00C169DB">
          <w:rPr>
            <w:rStyle w:val="Hyperlink"/>
            <w:rFonts w:ascii="TitilliumText25L" w:hAnsi="TitilliumText25L" w:cstheme="minorHAnsi"/>
            <w:noProof/>
            <w:sz w:val="22"/>
          </w:rPr>
          <w:t>http://www.safetyandquality.gov.au/wp-content/uploads/2012/10/Standard7_Oct_2012_WEB.pdf</w:t>
        </w:r>
      </w:hyperlink>
      <w:r w:rsidRPr="00C169DB">
        <w:rPr>
          <w:rFonts w:ascii="TitilliumText25L" w:hAnsi="TitilliumText25L" w:cstheme="minorHAnsi"/>
          <w:noProof/>
          <w:sz w:val="22"/>
        </w:rPr>
        <w:t xml:space="preserve">&gt; </w:t>
      </w:r>
      <w:r w:rsidR="00C11A9F" w:rsidRPr="00C169DB">
        <w:rPr>
          <w:rFonts w:ascii="TitilliumText25L" w:hAnsi="TitilliumText25L"/>
          <w:lang w:val="en-GB"/>
        </w:rPr>
        <w:fldChar w:fldCharType="end"/>
      </w:r>
    </w:p>
    <w:p w:rsidR="008324D5" w:rsidRPr="00C169DB" w:rsidRDefault="008324D5">
      <w:pPr>
        <w:rPr>
          <w:rFonts w:ascii="TitilliumText25L" w:hAnsi="TitilliumText25L"/>
          <w:lang w:val="en-GB"/>
        </w:rPr>
        <w:sectPr w:rsidR="008324D5" w:rsidRPr="00C169DB" w:rsidSect="00435D8B">
          <w:footerReference w:type="default" r:id="rId35"/>
          <w:footnotePr>
            <w:numFmt w:val="lowerLetter"/>
          </w:footnotePr>
          <w:type w:val="continuous"/>
          <w:pgSz w:w="11906" w:h="16838"/>
          <w:pgMar w:top="1560" w:right="1133" w:bottom="993" w:left="1440" w:header="708" w:footer="486" w:gutter="0"/>
          <w:cols w:space="708"/>
          <w:docGrid w:linePitch="360"/>
        </w:sectPr>
      </w:pPr>
    </w:p>
    <w:p w:rsidR="009E36E7" w:rsidRPr="00C169DB" w:rsidRDefault="009E36E7" w:rsidP="0084269D">
      <w:pPr>
        <w:pStyle w:val="Heading1"/>
        <w:rPr>
          <w:rFonts w:ascii="TitilliumText25L" w:hAnsi="TitilliumText25L"/>
        </w:rPr>
      </w:pPr>
      <w:bookmarkStart w:id="14" w:name="_Toc390423662"/>
      <w:r w:rsidRPr="00C169DB">
        <w:rPr>
          <w:rFonts w:ascii="TitilliumText25L" w:hAnsi="TitilliumText25L"/>
        </w:rPr>
        <w:t>Appendix 1:</w:t>
      </w:r>
      <w:r w:rsidR="0084269D" w:rsidRPr="00C169DB">
        <w:rPr>
          <w:rFonts w:ascii="TitilliumText25L" w:hAnsi="TitilliumText25L"/>
        </w:rPr>
        <w:tab/>
      </w:r>
      <w:r w:rsidRPr="00C169DB">
        <w:rPr>
          <w:rFonts w:ascii="TitilliumText25L" w:hAnsi="TitilliumText25L"/>
        </w:rPr>
        <w:t>Example Clinical Guideline</w:t>
      </w:r>
      <w:bookmarkEnd w:id="14"/>
    </w:p>
    <w:p w:rsidR="009A6D55" w:rsidRPr="00C169DB" w:rsidRDefault="009A6D55" w:rsidP="00B608C7">
      <w:pPr>
        <w:spacing w:before="120"/>
        <w:ind w:left="180"/>
        <w:rPr>
          <w:rFonts w:ascii="TitilliumText25L" w:hAnsi="TitilliumText25L" w:cs="Arial"/>
          <w:b/>
          <w:color w:val="C60C30"/>
          <w:sz w:val="28"/>
          <w:szCs w:val="32"/>
        </w:rPr>
      </w:pPr>
    </w:p>
    <w:p w:rsidR="009A6D55" w:rsidRPr="00C169DB" w:rsidRDefault="009A6D55" w:rsidP="00B608C7">
      <w:pPr>
        <w:spacing w:before="120"/>
        <w:ind w:left="180"/>
        <w:rPr>
          <w:rFonts w:ascii="TitilliumText25L" w:hAnsi="TitilliumText25L" w:cs="Arial"/>
          <w:b/>
          <w:color w:val="C60C30"/>
          <w:sz w:val="28"/>
          <w:szCs w:val="32"/>
        </w:rPr>
      </w:pPr>
    </w:p>
    <w:p w:rsidR="009A6D55" w:rsidRPr="00C169DB" w:rsidRDefault="009A6D55" w:rsidP="00B608C7">
      <w:pPr>
        <w:spacing w:before="120"/>
        <w:ind w:left="180"/>
        <w:rPr>
          <w:rFonts w:ascii="TitilliumText25L" w:hAnsi="TitilliumText25L" w:cs="Arial"/>
          <w:b/>
          <w:color w:val="C60C30"/>
          <w:sz w:val="28"/>
          <w:szCs w:val="32"/>
        </w:rPr>
      </w:pPr>
    </w:p>
    <w:p w:rsidR="00363098" w:rsidRPr="00C169DB" w:rsidRDefault="00B608C7" w:rsidP="00B608C7">
      <w:pPr>
        <w:spacing w:before="120"/>
        <w:ind w:left="180"/>
        <w:rPr>
          <w:rFonts w:ascii="TitilliumText25L" w:hAnsi="TitilliumText25L" w:cs="Arial"/>
          <w:color w:val="C60C30"/>
          <w:sz w:val="28"/>
          <w:szCs w:val="32"/>
        </w:rPr>
      </w:pPr>
      <w:r w:rsidRPr="00C169DB">
        <w:rPr>
          <w:rFonts w:ascii="TitilliumText25L" w:hAnsi="TitilliumText25L" w:cs="Arial"/>
          <w:b/>
          <w:color w:val="C60C30"/>
          <w:sz w:val="28"/>
          <w:szCs w:val="32"/>
        </w:rPr>
        <w:t xml:space="preserve">Disclaimer: </w:t>
      </w:r>
      <w:r w:rsidRPr="00C169DB">
        <w:rPr>
          <w:rFonts w:ascii="TitilliumText25L" w:hAnsi="TitilliumText25L" w:cs="Arial"/>
          <w:color w:val="C60C30"/>
          <w:sz w:val="28"/>
          <w:szCs w:val="32"/>
        </w:rPr>
        <w:t>This has been adapted from the Hunter New England Local Health District</w:t>
      </w:r>
      <w:r w:rsidRPr="00C169DB">
        <w:rPr>
          <w:rFonts w:ascii="TitilliumText25L" w:hAnsi="TitilliumText25L" w:cs="Arial"/>
          <w:color w:val="C60C30"/>
          <w:sz w:val="28"/>
          <w:szCs w:val="32"/>
        </w:rPr>
        <w:fldChar w:fldCharType="begin" w:fldLock="1"/>
      </w:r>
      <w:r w:rsidRPr="00C169DB">
        <w:rPr>
          <w:rFonts w:ascii="TitilliumText25L" w:hAnsi="TitilliumText25L" w:cs="Arial"/>
          <w:color w:val="C60C30"/>
          <w:sz w:val="28"/>
          <w:szCs w:val="32"/>
        </w:rPr>
        <w:instrText>ADDIN CSL_CITATION { "citationItems" : [ { "id" : "ITEM-1", "itemData" : { "author" : [ { "dropping-particle" : "", "family" : "Hunter New England Local Health District", "given" : "", "non-dropping-particle" : "", "parse-names" : false, "suffix" : "" } ], "id" : "ITEM-1", "issued" : { "date-parts" : [ [ "2013" ] ] }, "publisher" : "Hunter New England Health District, NSW Government", "title" : "Clinical Guideline", "type" : "book" }, "uris" : [ "http://www.mendeley.com/documents/?uuid=7c4b6a36-9a34-44d5-9660-a2ca139a421a" ] } ], "mendeley" : { "previouslyFormattedCitation" : "&lt;sup&gt;1&lt;/sup&gt;" }, "properties" : { "noteIndex" : 0 }, "schema" : "https://github.com/citation-style-language/schema/raw/master/csl-citation.json" }</w:instrText>
      </w:r>
      <w:r w:rsidRPr="00C169DB">
        <w:rPr>
          <w:rFonts w:ascii="TitilliumText25L" w:hAnsi="TitilliumText25L" w:cs="Arial"/>
          <w:color w:val="C60C30"/>
          <w:sz w:val="28"/>
          <w:szCs w:val="32"/>
        </w:rPr>
        <w:fldChar w:fldCharType="separate"/>
      </w:r>
      <w:r w:rsidRPr="00C169DB">
        <w:rPr>
          <w:rFonts w:ascii="TitilliumText25L" w:hAnsi="TitilliumText25L" w:cs="Arial"/>
          <w:noProof/>
          <w:color w:val="C60C30"/>
          <w:sz w:val="28"/>
          <w:szCs w:val="32"/>
          <w:vertAlign w:val="superscript"/>
        </w:rPr>
        <w:t>1</w:t>
      </w:r>
      <w:r w:rsidRPr="00C169DB">
        <w:rPr>
          <w:rFonts w:ascii="TitilliumText25L" w:hAnsi="TitilliumText25L" w:cs="Arial"/>
          <w:color w:val="C60C30"/>
          <w:sz w:val="28"/>
          <w:szCs w:val="32"/>
        </w:rPr>
        <w:fldChar w:fldCharType="end"/>
      </w:r>
      <w:r w:rsidRPr="00C169DB">
        <w:rPr>
          <w:rFonts w:ascii="TitilliumText25L" w:hAnsi="TitilliumText25L" w:cs="Arial"/>
          <w:color w:val="C60C30"/>
          <w:sz w:val="28"/>
          <w:szCs w:val="32"/>
        </w:rPr>
        <w:t xml:space="preserve"> template and is designed as a guide only. It is intended that local guideline templates are used.</w:t>
      </w:r>
    </w:p>
    <w:p w:rsidR="00363098" w:rsidRPr="00C169DB" w:rsidRDefault="00363098">
      <w:pPr>
        <w:rPr>
          <w:rFonts w:ascii="TitilliumText25L" w:hAnsi="TitilliumText25L" w:cs="Arial"/>
          <w:color w:val="C60C30"/>
          <w:sz w:val="28"/>
          <w:szCs w:val="32"/>
        </w:rPr>
      </w:pPr>
      <w:r w:rsidRPr="00C169DB">
        <w:rPr>
          <w:rFonts w:ascii="TitilliumText25L" w:hAnsi="TitilliumText25L" w:cs="Arial"/>
          <w:color w:val="C60C30"/>
          <w:sz w:val="28"/>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719"/>
      </w:tblGrid>
      <w:tr w:rsidR="00B608C7" w:rsidRPr="00C169DB" w:rsidTr="00E76F34">
        <w:tc>
          <w:tcPr>
            <w:tcW w:w="4722" w:type="dxa"/>
            <w:shd w:val="clear" w:color="auto" w:fill="auto"/>
          </w:tcPr>
          <w:p w:rsidR="00B608C7" w:rsidRPr="00C169DB" w:rsidRDefault="00B608C7" w:rsidP="002545C7">
            <w:pPr>
              <w:spacing w:before="120"/>
              <w:jc w:val="center"/>
              <w:rPr>
                <w:rFonts w:ascii="TitilliumText25L" w:hAnsi="TitilliumText25L" w:cs="Arial"/>
                <w:b/>
                <w:sz w:val="32"/>
                <w:szCs w:val="32"/>
              </w:rPr>
            </w:pPr>
          </w:p>
          <w:p w:rsidR="00B608C7" w:rsidRPr="00C169DB" w:rsidRDefault="00B608C7" w:rsidP="002545C7">
            <w:pPr>
              <w:spacing w:before="120"/>
              <w:jc w:val="center"/>
              <w:rPr>
                <w:rFonts w:ascii="TitilliumText25L" w:hAnsi="TitilliumText25L" w:cs="Arial"/>
                <w:b/>
                <w:sz w:val="32"/>
                <w:szCs w:val="32"/>
              </w:rPr>
            </w:pPr>
            <w:r w:rsidRPr="00C169DB">
              <w:rPr>
                <w:rFonts w:ascii="TitilliumText25L" w:hAnsi="TitilliumText25L" w:cs="Arial"/>
                <w:b/>
                <w:sz w:val="32"/>
                <w:szCs w:val="32"/>
              </w:rPr>
              <w:t>Clinical Guideline</w:t>
            </w:r>
          </w:p>
          <w:p w:rsidR="00B608C7" w:rsidRPr="00C169DB" w:rsidRDefault="00B608C7" w:rsidP="002545C7">
            <w:pPr>
              <w:spacing w:before="120"/>
              <w:jc w:val="center"/>
              <w:rPr>
                <w:rFonts w:ascii="TitilliumText25L" w:hAnsi="TitilliumText25L" w:cs="Arial"/>
                <w:b/>
                <w:sz w:val="32"/>
                <w:szCs w:val="32"/>
              </w:rPr>
            </w:pPr>
          </w:p>
        </w:tc>
        <w:tc>
          <w:tcPr>
            <w:tcW w:w="4719" w:type="dxa"/>
            <w:shd w:val="clear" w:color="auto" w:fill="auto"/>
          </w:tcPr>
          <w:p w:rsidR="00B608C7" w:rsidRPr="00C169DB" w:rsidRDefault="00B608C7" w:rsidP="002545C7">
            <w:pPr>
              <w:spacing w:before="120"/>
              <w:rPr>
                <w:rFonts w:ascii="TitilliumText25L" w:hAnsi="TitilliumText25L" w:cs="Arial"/>
                <w:sz w:val="32"/>
                <w:szCs w:val="32"/>
              </w:rPr>
            </w:pPr>
            <w:r w:rsidRPr="00C169DB">
              <w:rPr>
                <w:rFonts w:ascii="TitilliumText25L" w:hAnsi="TitilliumText25L" w:cs="Arial"/>
                <w:sz w:val="32"/>
                <w:szCs w:val="32"/>
                <w:highlight w:val="lightGray"/>
              </w:rPr>
              <w:t>[</w:t>
            </w:r>
            <w:r w:rsidRPr="00C169DB">
              <w:rPr>
                <w:rFonts w:ascii="TitilliumText25L" w:hAnsi="TitilliumText25L" w:cs="Arial"/>
                <w:color w:val="C60C30"/>
                <w:sz w:val="32"/>
                <w:szCs w:val="32"/>
                <w:highlight w:val="lightGray"/>
              </w:rPr>
              <w:t>Insert local health network or hospital name / logo]</w:t>
            </w:r>
          </w:p>
        </w:tc>
      </w:tr>
    </w:tbl>
    <w:p w:rsidR="00B608C7" w:rsidRPr="00C169DB" w:rsidRDefault="00B608C7" w:rsidP="00B608C7">
      <w:pPr>
        <w:spacing w:before="120"/>
        <w:rPr>
          <w:rFonts w:ascii="TitilliumText25L" w:hAnsi="TitilliumText25L" w:cs="Arial"/>
          <w:b/>
          <w:sz w:val="32"/>
          <w:szCs w:val="32"/>
        </w:rPr>
      </w:pPr>
      <w:r w:rsidRPr="00C169DB">
        <w:rPr>
          <w:rFonts w:ascii="TitilliumText25L" w:hAnsi="TitilliumText25L" w:cs="Arial"/>
          <w:b/>
          <w:sz w:val="32"/>
          <w:szCs w:val="32"/>
        </w:rPr>
        <w:t>Single Unit Blood Transfusion Clinical Guideline</w:t>
      </w:r>
    </w:p>
    <w:p w:rsidR="00B608C7" w:rsidRPr="00C169DB" w:rsidRDefault="00B608C7" w:rsidP="00B608C7">
      <w:pPr>
        <w:tabs>
          <w:tab w:val="left" w:pos="720"/>
        </w:tabs>
        <w:spacing w:after="120"/>
        <w:jc w:val="right"/>
        <w:rPr>
          <w:rFonts w:ascii="TitilliumText25L" w:hAnsi="TitilliumText25L" w:cs="Arial"/>
          <w:b/>
          <w:color w:val="CC0000"/>
        </w:rPr>
      </w:pPr>
      <w:r w:rsidRPr="00C169DB">
        <w:rPr>
          <w:rFonts w:ascii="TitilliumText25L" w:hAnsi="TitilliumText25L" w:cs="Arial"/>
          <w:b/>
        </w:rPr>
        <w:t xml:space="preserve">Document Registration Number: </w:t>
      </w:r>
      <w:r w:rsidRPr="00C169DB">
        <w:rPr>
          <w:rFonts w:ascii="TitilliumText25L" w:hAnsi="TitilliumText25L" w:cs="Arial"/>
          <w:b/>
          <w:color w:val="C60C30"/>
          <w:highlight w:val="lightGray"/>
        </w:rPr>
        <w:t>Insert</w:t>
      </w:r>
    </w:p>
    <w:tbl>
      <w:tblPr>
        <w:tblW w:w="9596" w:type="dxa"/>
        <w:tblInd w:w="108" w:type="dxa"/>
        <w:tblLook w:val="0000" w:firstRow="0" w:lastRow="0" w:firstColumn="0" w:lastColumn="0" w:noHBand="0" w:noVBand="0"/>
      </w:tblPr>
      <w:tblGrid>
        <w:gridCol w:w="4320"/>
        <w:gridCol w:w="5276"/>
      </w:tblGrid>
      <w:tr w:rsidR="00B608C7" w:rsidRPr="00C169DB" w:rsidTr="002545C7">
        <w:tc>
          <w:tcPr>
            <w:tcW w:w="4320" w:type="dxa"/>
            <w:tcBorders>
              <w:bottom w:val="single" w:sz="4" w:space="0" w:color="auto"/>
            </w:tcBorders>
            <w:shd w:val="clear" w:color="auto" w:fill="FFFFFF"/>
          </w:tcPr>
          <w:p w:rsidR="00B608C7" w:rsidRPr="00C169DB" w:rsidRDefault="00B608C7" w:rsidP="002545C7">
            <w:pPr>
              <w:spacing w:before="60" w:after="60"/>
              <w:ind w:right="16"/>
              <w:rPr>
                <w:rFonts w:ascii="TitilliumText25L" w:hAnsi="TitilliumText25L"/>
                <w:b/>
              </w:rPr>
            </w:pPr>
            <w:r w:rsidRPr="00C169DB">
              <w:rPr>
                <w:rFonts w:ascii="TitilliumText25L" w:hAnsi="TitilliumText25L"/>
                <w:b/>
              </w:rPr>
              <w:t xml:space="preserve">Sites where Clinical Guideline applies  </w:t>
            </w:r>
          </w:p>
        </w:tc>
        <w:tc>
          <w:tcPr>
            <w:tcW w:w="5276" w:type="dxa"/>
            <w:tcBorders>
              <w:bottom w:val="single" w:sz="4" w:space="0" w:color="auto"/>
            </w:tcBorders>
          </w:tcPr>
          <w:p w:rsidR="00B608C7" w:rsidRPr="00C169DB" w:rsidRDefault="00B608C7" w:rsidP="002545C7">
            <w:pPr>
              <w:spacing w:before="60" w:after="60"/>
              <w:ind w:right="16"/>
              <w:rPr>
                <w:rFonts w:ascii="TitilliumText25L" w:hAnsi="TitilliumText25L"/>
              </w:rPr>
            </w:pPr>
            <w:r w:rsidRPr="00C169DB">
              <w:rPr>
                <w:rFonts w:ascii="TitilliumText25L" w:hAnsi="TitilliumText25L"/>
              </w:rPr>
              <w:t xml:space="preserve">All hospitals within </w:t>
            </w:r>
            <w:r w:rsidRPr="00C169DB">
              <w:rPr>
                <w:rFonts w:ascii="TitilliumText25L" w:hAnsi="TitilliumText25L"/>
                <w:highlight w:val="lightGray"/>
              </w:rPr>
              <w:t>[</w:t>
            </w:r>
            <w:r w:rsidRPr="00C169DB">
              <w:rPr>
                <w:rFonts w:ascii="TitilliumText25L" w:hAnsi="TitilliumText25L"/>
                <w:color w:val="C60C30"/>
                <w:highlight w:val="lightGray"/>
              </w:rPr>
              <w:t>insert local health network or hospital name</w:t>
            </w:r>
            <w:r w:rsidRPr="00C169DB">
              <w:rPr>
                <w:rFonts w:ascii="TitilliumText25L" w:hAnsi="TitilliumText25L"/>
                <w:highlight w:val="lightGray"/>
              </w:rPr>
              <w:t>]</w:t>
            </w:r>
            <w:r w:rsidR="00363098" w:rsidRPr="00C169DB">
              <w:rPr>
                <w:rFonts w:ascii="TitilliumText25L" w:hAnsi="TitilliumText25L"/>
              </w:rPr>
              <w:t xml:space="preserve"> </w:t>
            </w:r>
            <w:r w:rsidRPr="00C169DB">
              <w:rPr>
                <w:rFonts w:ascii="TitilliumText25L" w:hAnsi="TitilliumText25L"/>
              </w:rPr>
              <w:t>where red blood cell transfusions are administered.</w:t>
            </w:r>
          </w:p>
        </w:tc>
      </w:tr>
      <w:tr w:rsidR="00B608C7" w:rsidRPr="00C169DB" w:rsidTr="002545C7">
        <w:tc>
          <w:tcPr>
            <w:tcW w:w="4320" w:type="dxa"/>
            <w:tcBorders>
              <w:bottom w:val="single" w:sz="4" w:space="0" w:color="auto"/>
            </w:tcBorders>
          </w:tcPr>
          <w:p w:rsidR="00B608C7" w:rsidRPr="00C169DB" w:rsidRDefault="00B608C7" w:rsidP="002545C7">
            <w:pPr>
              <w:spacing w:before="60" w:after="60"/>
              <w:ind w:right="16"/>
              <w:rPr>
                <w:rFonts w:ascii="TitilliumText25L" w:hAnsi="TitilliumText25L"/>
                <w:b/>
              </w:rPr>
            </w:pPr>
            <w:r w:rsidRPr="00C169DB">
              <w:rPr>
                <w:rFonts w:ascii="TitilliumText25L" w:hAnsi="TitilliumText25L"/>
                <w:b/>
              </w:rPr>
              <w:t>This Clinical Guideline applies to:</w:t>
            </w:r>
          </w:p>
        </w:tc>
        <w:tc>
          <w:tcPr>
            <w:tcW w:w="5276" w:type="dxa"/>
            <w:tcBorders>
              <w:bottom w:val="single" w:sz="4" w:space="0" w:color="auto"/>
            </w:tcBorders>
          </w:tcPr>
          <w:p w:rsidR="00B608C7" w:rsidRPr="00C169DB" w:rsidRDefault="00B608C7" w:rsidP="002545C7">
            <w:pPr>
              <w:spacing w:before="60" w:after="60"/>
              <w:ind w:right="16"/>
              <w:rPr>
                <w:rFonts w:ascii="TitilliumText25L" w:hAnsi="TitilliumText25L"/>
              </w:rPr>
            </w:pPr>
            <w:r w:rsidRPr="00C169DB">
              <w:rPr>
                <w:rFonts w:ascii="TitilliumText25L" w:hAnsi="TitilliumText25L"/>
              </w:rPr>
              <w:t>Adults</w:t>
            </w:r>
          </w:p>
        </w:tc>
      </w:tr>
      <w:tr w:rsidR="00B608C7" w:rsidRPr="00C169DB" w:rsidTr="002545C7">
        <w:tc>
          <w:tcPr>
            <w:tcW w:w="4320" w:type="dxa"/>
            <w:tcBorders>
              <w:bottom w:val="single" w:sz="4" w:space="0" w:color="auto"/>
            </w:tcBorders>
          </w:tcPr>
          <w:p w:rsidR="00B608C7" w:rsidRPr="00C169DB" w:rsidRDefault="00B608C7" w:rsidP="002545C7">
            <w:pPr>
              <w:spacing w:before="60" w:after="60"/>
              <w:ind w:right="16"/>
              <w:rPr>
                <w:rFonts w:ascii="TitilliumText25L" w:hAnsi="TitilliumText25L"/>
                <w:b/>
              </w:rPr>
            </w:pPr>
            <w:r w:rsidRPr="00C169DB">
              <w:rPr>
                <w:rFonts w:ascii="TitilliumText25L" w:hAnsi="TitilliumText25L"/>
                <w:b/>
              </w:rPr>
              <w:t>Target audience</w:t>
            </w:r>
          </w:p>
        </w:tc>
        <w:tc>
          <w:tcPr>
            <w:tcW w:w="5276" w:type="dxa"/>
            <w:tcBorders>
              <w:bottom w:val="single" w:sz="4" w:space="0" w:color="auto"/>
            </w:tcBorders>
          </w:tcPr>
          <w:p w:rsidR="00B608C7" w:rsidRPr="00C169DB" w:rsidRDefault="00B608C7" w:rsidP="002545C7">
            <w:pPr>
              <w:spacing w:before="60" w:after="60"/>
              <w:ind w:right="16"/>
              <w:rPr>
                <w:rFonts w:ascii="TitilliumText25L" w:hAnsi="TitilliumText25L"/>
              </w:rPr>
            </w:pPr>
            <w:r w:rsidRPr="00C169DB">
              <w:rPr>
                <w:rFonts w:ascii="TitilliumText25L" w:hAnsi="TitilliumText25L"/>
              </w:rPr>
              <w:t xml:space="preserve">All medical officers, nursing / midwifery staff and transfusion laboratory staff </w:t>
            </w:r>
          </w:p>
        </w:tc>
      </w:tr>
      <w:tr w:rsidR="00B608C7" w:rsidRPr="00C169DB" w:rsidTr="002545C7">
        <w:tc>
          <w:tcPr>
            <w:tcW w:w="4320" w:type="dxa"/>
            <w:tcBorders>
              <w:bottom w:val="single" w:sz="4" w:space="0" w:color="auto"/>
            </w:tcBorders>
          </w:tcPr>
          <w:p w:rsidR="00B608C7" w:rsidRPr="00C169DB" w:rsidRDefault="00B608C7" w:rsidP="002545C7">
            <w:pPr>
              <w:spacing w:before="60" w:after="60"/>
              <w:ind w:right="16"/>
              <w:rPr>
                <w:rFonts w:ascii="TitilliumText25L" w:hAnsi="TitilliumText25L"/>
                <w:b/>
              </w:rPr>
            </w:pPr>
            <w:r w:rsidRPr="00C169DB">
              <w:rPr>
                <w:rFonts w:ascii="TitilliumText25L" w:hAnsi="TitilliumText25L"/>
                <w:b/>
              </w:rPr>
              <w:t>Description</w:t>
            </w:r>
          </w:p>
        </w:tc>
        <w:tc>
          <w:tcPr>
            <w:tcW w:w="5276" w:type="dxa"/>
            <w:tcBorders>
              <w:bottom w:val="single" w:sz="4" w:space="0" w:color="auto"/>
            </w:tcBorders>
          </w:tcPr>
          <w:p w:rsidR="00B608C7" w:rsidRPr="00C169DB" w:rsidRDefault="00B608C7" w:rsidP="002545C7">
            <w:pPr>
              <w:spacing w:before="60" w:after="60"/>
              <w:ind w:right="16"/>
              <w:rPr>
                <w:rFonts w:ascii="TitilliumText25L" w:hAnsi="TitilliumText25L"/>
              </w:rPr>
            </w:pPr>
            <w:r w:rsidRPr="00C169DB">
              <w:rPr>
                <w:rFonts w:ascii="TitilliumText25L" w:hAnsi="TitilliumText25L"/>
              </w:rPr>
              <w:t>This guideline is intended for use by all clinicians responsible for prescribing red blood cell transfusion. The single unit transfusion guideline can be applied to stable, normovolaemic adult patients, in an inpatient setting, who do not have clinically significant bleeding</w:t>
            </w:r>
            <w:r w:rsidRPr="00C169DB">
              <w:rPr>
                <w:rStyle w:val="FootnoteReference"/>
                <w:rFonts w:ascii="TitilliumText25L" w:hAnsi="TitilliumText25L"/>
              </w:rPr>
              <w:footnoteReference w:id="3"/>
            </w:r>
            <w:r w:rsidRPr="00C169DB">
              <w:rPr>
                <w:rFonts w:ascii="TitilliumText25L" w:hAnsi="TitilliumText25L"/>
              </w:rPr>
              <w:t>.</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"&lt;sup&gt;2&lt;/sup&gt;"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2</w:t>
            </w:r>
            <w:r w:rsidRPr="00C169DB">
              <w:rPr>
                <w:rFonts w:ascii="TitilliumText25L" w:hAnsi="TitilliumText25L"/>
              </w:rPr>
              <w:fldChar w:fldCharType="end"/>
            </w:r>
          </w:p>
          <w:p w:rsidR="00B608C7" w:rsidRPr="00C169DB" w:rsidRDefault="00B608C7" w:rsidP="002545C7">
            <w:pPr>
              <w:spacing w:before="60" w:after="60"/>
              <w:ind w:right="16"/>
              <w:rPr>
                <w:rFonts w:ascii="TitilliumText25L" w:hAnsi="TitilliumText25L"/>
              </w:rPr>
            </w:pPr>
            <w:r w:rsidRPr="00C169DB">
              <w:rPr>
                <w:rFonts w:ascii="TitilliumText25L" w:hAnsi="TitilliumText25L"/>
              </w:rPr>
              <w:t>The guideline is consistent with the national Patient Blood Management Guidelines.</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"2012" ] ] }, "publisher" : "National Blood Authority", "publisher-place" : "Canberra, Australia", "title" : "Patient blood management guidelines: Module 3 \u2013 Medical", "type" : "book" }, "uris" : [ "http://www.mendeley.com/documents/?uuid=0b45fa2d-24ab-49d5-a0df-007d328f5e3b" ] }, { "id" : "ITEM-3", "itemData" : { "author" : [ { "dropping-particle" : "", "family" : "National Blood Authority", "given" : "", "non-dropping-particle" : "", "parse-names" : false, "suffix" : "" } ], "id" : "ITEM-3", "issued" : { "date-parts" : [ [ "2013" ] ] }, "publisher-place" : "Canberra, Australia", "title" : "Patient blood management guidelines: Module 4 \u2013 Critical Care", "type" : "book" }, "uris" : [ "http://www.mendeley.com/documents/?uuid=ea39fd74-ab5a-47df-93c5-ce717f8041eb" ] } ], "mendeley" : { "previouslyFormattedCitation" : "&lt;sup&gt;3\u20135&lt;/sup&gt;"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3–5</w:t>
            </w:r>
            <w:r w:rsidRPr="00C169DB">
              <w:rPr>
                <w:rFonts w:ascii="TitilliumText25L" w:hAnsi="TitilliumText25L"/>
              </w:rPr>
              <w:fldChar w:fldCharType="end"/>
            </w:r>
          </w:p>
        </w:tc>
      </w:tr>
      <w:tr w:rsidR="00B608C7" w:rsidRPr="00C169DB" w:rsidTr="002545C7">
        <w:tc>
          <w:tcPr>
            <w:tcW w:w="4320" w:type="dxa"/>
            <w:tcBorders>
              <w:bottom w:val="single" w:sz="4" w:space="0" w:color="auto"/>
            </w:tcBorders>
          </w:tcPr>
          <w:p w:rsidR="00B608C7" w:rsidRPr="00C169DB" w:rsidRDefault="00B608C7" w:rsidP="002545C7">
            <w:pPr>
              <w:spacing w:before="60" w:after="60"/>
              <w:ind w:right="16"/>
              <w:rPr>
                <w:rFonts w:ascii="TitilliumText25L" w:hAnsi="TitilliumText25L"/>
                <w:b/>
              </w:rPr>
            </w:pPr>
            <w:r w:rsidRPr="00C169DB">
              <w:rPr>
                <w:rFonts w:ascii="TitilliumText25L" w:hAnsi="TitilliumText25L"/>
                <w:b/>
              </w:rPr>
              <w:t>Keywords</w:t>
            </w:r>
          </w:p>
        </w:tc>
        <w:tc>
          <w:tcPr>
            <w:tcW w:w="5276" w:type="dxa"/>
            <w:tcBorders>
              <w:bottom w:val="single" w:sz="4" w:space="0" w:color="auto"/>
            </w:tcBorders>
          </w:tcPr>
          <w:p w:rsidR="00B608C7" w:rsidRPr="00C169DB" w:rsidRDefault="00B608C7" w:rsidP="002545C7">
            <w:pPr>
              <w:spacing w:before="60" w:after="60"/>
              <w:ind w:right="16"/>
              <w:rPr>
                <w:rFonts w:ascii="TitilliumText25L" w:hAnsi="TitilliumText25L"/>
              </w:rPr>
            </w:pPr>
            <w:r w:rsidRPr="00C169DB">
              <w:rPr>
                <w:rFonts w:ascii="TitilliumText25L" w:hAnsi="TitilliumText25L"/>
              </w:rPr>
              <w:t>Single unit, blood, transfusion, non-bleeding, normovolaemic, patient, symptoms.</w:t>
            </w:r>
          </w:p>
        </w:tc>
      </w:tr>
      <w:tr w:rsidR="00B608C7" w:rsidRPr="00C169DB" w:rsidTr="002545C7">
        <w:trPr>
          <w:cantSplit/>
        </w:trPr>
        <w:tc>
          <w:tcPr>
            <w:tcW w:w="9596" w:type="dxa"/>
            <w:gridSpan w:val="2"/>
            <w:tcBorders>
              <w:top w:val="single" w:sz="4" w:space="0" w:color="auto"/>
            </w:tcBorders>
          </w:tcPr>
          <w:p w:rsidR="00B608C7" w:rsidRPr="00C169DB" w:rsidRDefault="00B608C7" w:rsidP="002545C7">
            <w:pPr>
              <w:spacing w:before="60" w:after="60"/>
              <w:ind w:right="16"/>
              <w:rPr>
                <w:rFonts w:ascii="TitilliumText25L" w:hAnsi="TitilliumText25L"/>
                <w:b/>
                <w:iCs/>
                <w:color w:val="000000"/>
              </w:rPr>
            </w:pPr>
            <w:r w:rsidRPr="00C169DB">
              <w:rPr>
                <w:rFonts w:ascii="TitilliumText25L" w:hAnsi="TitilliumText25L"/>
                <w:b/>
              </w:rPr>
              <w:t>Related jurisdictional legislation, Australian Standards, National Safety and Quality Health Service Standard</w:t>
            </w:r>
            <w:r w:rsidRPr="00C169DB" w:rsidDel="00666144">
              <w:rPr>
                <w:rFonts w:ascii="TitilliumText25L" w:hAnsi="TitilliumText25L"/>
                <w:b/>
              </w:rPr>
              <w:t xml:space="preserve"> </w:t>
            </w:r>
            <w:r w:rsidRPr="00C169DB">
              <w:rPr>
                <w:rFonts w:ascii="TitilliumText25L" w:hAnsi="TitilliumText25L"/>
                <w:b/>
              </w:rPr>
              <w:t>, Professional Guidelines, Codes of Practice or Ethics:</w:t>
            </w:r>
          </w:p>
        </w:tc>
      </w:tr>
      <w:tr w:rsidR="00B608C7" w:rsidRPr="00C169DB" w:rsidTr="002545C7">
        <w:trPr>
          <w:cantSplit/>
        </w:trPr>
        <w:tc>
          <w:tcPr>
            <w:tcW w:w="9596" w:type="dxa"/>
            <w:gridSpan w:val="2"/>
          </w:tcPr>
          <w:p w:rsidR="00B608C7" w:rsidRPr="00C169DB" w:rsidRDefault="00B608C7" w:rsidP="00B608C7">
            <w:pPr>
              <w:numPr>
                <w:ilvl w:val="0"/>
                <w:numId w:val="7"/>
              </w:numPr>
              <w:spacing w:before="60" w:after="60"/>
              <w:ind w:right="16"/>
              <w:rPr>
                <w:rFonts w:ascii="TitilliumText25L" w:hAnsi="TitilliumText25L"/>
                <w:iCs/>
              </w:rPr>
            </w:pPr>
            <w:r w:rsidRPr="00C169DB">
              <w:rPr>
                <w:rFonts w:ascii="TitilliumText25L" w:hAnsi="TitilliumText25L"/>
                <w:iCs/>
              </w:rPr>
              <w:t xml:space="preserve">National Blood Authority Patient Blood Management Guidelines: Modules 2-4 </w:t>
            </w:r>
            <w:hyperlink r:id="rId36" w:history="1">
              <w:r w:rsidRPr="00C169DB">
                <w:rPr>
                  <w:rStyle w:val="Hyperlink"/>
                  <w:rFonts w:ascii="TitilliumText25L" w:hAnsi="TitilliumText25L"/>
                  <w:iCs/>
                </w:rPr>
                <w:t>http://www.blood.gov.au/pbm-guidelines</w:t>
              </w:r>
            </w:hyperlink>
            <w:r w:rsidRPr="00C169DB">
              <w:rPr>
                <w:rFonts w:ascii="TitilliumText25L" w:hAnsi="TitilliumText25L"/>
                <w:iCs/>
              </w:rPr>
              <w:t xml:space="preserve">. </w:t>
            </w:r>
          </w:p>
          <w:p w:rsidR="00B608C7" w:rsidRPr="00C169DB" w:rsidRDefault="00B608C7" w:rsidP="00B608C7">
            <w:pPr>
              <w:numPr>
                <w:ilvl w:val="0"/>
                <w:numId w:val="7"/>
              </w:numPr>
              <w:spacing w:before="60" w:after="60"/>
              <w:ind w:right="16"/>
              <w:rPr>
                <w:rFonts w:ascii="TitilliumText25L" w:hAnsi="TitilliumText25L"/>
                <w:iCs/>
              </w:rPr>
            </w:pPr>
            <w:r w:rsidRPr="00C169DB">
              <w:rPr>
                <w:rFonts w:ascii="TitilliumText25L" w:hAnsi="TitilliumText25L"/>
                <w:iCs/>
              </w:rPr>
              <w:t>National Safety and Quality Health Service Standard</w:t>
            </w:r>
            <w:r w:rsidRPr="00C169DB" w:rsidDel="00666144">
              <w:rPr>
                <w:rFonts w:ascii="TitilliumText25L" w:hAnsi="TitilliumText25L"/>
                <w:iCs/>
              </w:rPr>
              <w:t xml:space="preserve"> </w:t>
            </w:r>
            <w:r w:rsidRPr="00C169DB">
              <w:rPr>
                <w:rFonts w:ascii="TitilliumText25L" w:hAnsi="TitilliumText25L"/>
                <w:iCs/>
              </w:rPr>
              <w:t xml:space="preserve">7: Blood and Blood Products </w:t>
            </w:r>
            <w:hyperlink r:id="rId37" w:history="1">
              <w:r w:rsidRPr="00C169DB">
                <w:rPr>
                  <w:rStyle w:val="Hyperlink"/>
                  <w:rFonts w:ascii="TitilliumText25L" w:hAnsi="TitilliumText25L"/>
                  <w:iCs/>
                </w:rPr>
                <w:t>http://www.safetyandquality.gov.au/wp-content/uploads/2012/10/Standard7_Oct_2012_WEB.pdf</w:t>
              </w:r>
            </w:hyperlink>
            <w:r w:rsidRPr="00C169DB">
              <w:rPr>
                <w:rFonts w:ascii="TitilliumText25L" w:hAnsi="TitilliumText25L"/>
                <w:iCs/>
              </w:rPr>
              <w:t>.</w:t>
            </w:r>
          </w:p>
          <w:p w:rsidR="00B608C7" w:rsidRPr="00C169DB" w:rsidRDefault="00B608C7" w:rsidP="00B608C7">
            <w:pPr>
              <w:numPr>
                <w:ilvl w:val="0"/>
                <w:numId w:val="7"/>
              </w:numPr>
              <w:spacing w:before="60" w:after="60"/>
              <w:ind w:left="431" w:right="17" w:hanging="357"/>
              <w:rPr>
                <w:rFonts w:ascii="TitilliumText25L" w:hAnsi="TitilliumText25L"/>
                <w:iCs/>
              </w:rPr>
            </w:pPr>
            <w:r w:rsidRPr="00C169DB">
              <w:rPr>
                <w:rFonts w:ascii="TitilliumText25L" w:hAnsi="TitilliumText25L"/>
                <w:iCs/>
              </w:rPr>
              <w:t>ANZSBT/RCNA Guidelines for the Administration of Blood Products Page 14 Section 1;  Page 21 Recommendation 9</w:t>
            </w:r>
          </w:p>
          <w:p w:rsidR="00B608C7" w:rsidRPr="00C169DB" w:rsidRDefault="00B608C7" w:rsidP="00B608C7">
            <w:pPr>
              <w:numPr>
                <w:ilvl w:val="0"/>
                <w:numId w:val="7"/>
              </w:numPr>
              <w:spacing w:before="60" w:after="60"/>
              <w:ind w:left="432" w:right="16"/>
              <w:rPr>
                <w:rFonts w:ascii="TitilliumText25L" w:hAnsi="TitilliumText25L"/>
                <w:b/>
                <w:iCs/>
                <w:color w:val="0070C0"/>
              </w:rPr>
            </w:pPr>
            <w:r w:rsidRPr="00C169DB">
              <w:rPr>
                <w:rFonts w:ascii="TitilliumText25L" w:hAnsi="TitilliumText25L"/>
                <w:iCs/>
                <w:highlight w:val="lightGray"/>
              </w:rPr>
              <w:t>[list as appropriate]</w:t>
            </w:r>
          </w:p>
        </w:tc>
      </w:tr>
    </w:tbl>
    <w:p w:rsidR="00B608C7" w:rsidRPr="00C169DB" w:rsidRDefault="00B608C7" w:rsidP="00B608C7">
      <w:pPr>
        <w:spacing w:before="120" w:after="120"/>
        <w:rPr>
          <w:rFonts w:ascii="TitilliumText25L" w:hAnsi="TitilliumText25L"/>
          <w:b/>
        </w:rPr>
      </w:pPr>
    </w:p>
    <w:p w:rsidR="00B608C7" w:rsidRPr="00C169DB" w:rsidRDefault="00B608C7">
      <w:pPr>
        <w:rPr>
          <w:rFonts w:ascii="TitilliumText25L" w:hAnsi="TitilliumText25L"/>
          <w:b/>
        </w:rPr>
      </w:pPr>
      <w:r w:rsidRPr="00C169DB">
        <w:rPr>
          <w:rFonts w:ascii="TitilliumText25L" w:hAnsi="TitilliumText25L"/>
          <w:b/>
        </w:rPr>
        <w:br w:type="page"/>
      </w:r>
    </w:p>
    <w:p w:rsidR="00B608C7" w:rsidRPr="00C169DB" w:rsidRDefault="00B608C7" w:rsidP="00B608C7">
      <w:pPr>
        <w:spacing w:before="120" w:after="120"/>
        <w:rPr>
          <w:rFonts w:ascii="TitilliumText25L" w:hAnsi="TitilliumText25L"/>
        </w:rPr>
      </w:pPr>
      <w:r w:rsidRPr="00C169DB">
        <w:rPr>
          <w:rFonts w:ascii="TitilliumText25L" w:hAnsi="TitilliumText25L"/>
          <w:b/>
          <w:color w:val="C60C30"/>
          <w:sz w:val="32"/>
          <w:szCs w:val="32"/>
        </w:rPr>
        <w:t>TABLE OF CONTENTS</w:t>
      </w:r>
      <w:r w:rsidRPr="00C169DB">
        <w:rPr>
          <w:rFonts w:ascii="TitilliumText25L" w:hAnsi="TitilliumText25L"/>
          <w:color w:val="C60C30"/>
        </w:rPr>
        <w:t xml:space="preserve"> </w:t>
      </w:r>
      <w:r w:rsidRPr="00C169DB">
        <w:rPr>
          <w:rFonts w:ascii="TitilliumText25L" w:hAnsi="TitilliumText25L"/>
        </w:rPr>
        <w:t>(This is a guide only)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539"/>
      </w:tblGrid>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Guideline Summary</w:t>
            </w:r>
          </w:p>
        </w:tc>
        <w:tc>
          <w:tcPr>
            <w:tcW w:w="1539" w:type="dxa"/>
            <w:shd w:val="clear" w:color="auto" w:fill="auto"/>
          </w:tcPr>
          <w:p w:rsidR="00B608C7" w:rsidRPr="00C169DB" w:rsidRDefault="00B608C7" w:rsidP="002545C7">
            <w:pPr>
              <w:rPr>
                <w:rFonts w:ascii="TitilliumText25L" w:hAnsi="TitilliumText25L"/>
                <w:b/>
                <w:color w:val="0070C0"/>
              </w:rPr>
            </w:pPr>
            <w:r w:rsidRPr="00C169DB">
              <w:rPr>
                <w:rFonts w:ascii="TitilliumText25L" w:hAnsi="TitilliumText25L"/>
                <w:b/>
              </w:rPr>
              <w:t xml:space="preserve">Page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Glossary</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 xml:space="preserve">Page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Guideline</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 xml:space="preserve">Page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Implementation Guide</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 xml:space="preserve">Page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Evaluation Plan</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 xml:space="preserve">Page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References</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Page</w:t>
            </w:r>
            <w:r w:rsidRPr="00C169DB">
              <w:rPr>
                <w:rFonts w:ascii="TitilliumText25L" w:hAnsi="TitilliumText25L"/>
                <w:b/>
                <w:color w:val="0070C0"/>
              </w:rPr>
              <w:t xml:space="preserve"> </w:t>
            </w:r>
          </w:p>
        </w:tc>
      </w:tr>
      <w:tr w:rsidR="00B608C7" w:rsidRPr="00C169DB" w:rsidTr="002545C7">
        <w:tc>
          <w:tcPr>
            <w:tcW w:w="8100"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Appendixes</w:t>
            </w:r>
          </w:p>
        </w:tc>
        <w:tc>
          <w:tcPr>
            <w:tcW w:w="1539" w:type="dxa"/>
            <w:shd w:val="clear" w:color="auto" w:fill="auto"/>
          </w:tcPr>
          <w:p w:rsidR="00B608C7" w:rsidRPr="00C169DB" w:rsidRDefault="00B608C7" w:rsidP="002545C7">
            <w:pPr>
              <w:rPr>
                <w:rFonts w:ascii="TitilliumText25L" w:hAnsi="TitilliumText25L"/>
                <w:b/>
              </w:rPr>
            </w:pPr>
            <w:r w:rsidRPr="00C169DB">
              <w:rPr>
                <w:rFonts w:ascii="TitilliumText25L" w:hAnsi="TitilliumText25L"/>
                <w:b/>
              </w:rPr>
              <w:t xml:space="preserve">Page </w:t>
            </w:r>
          </w:p>
        </w:tc>
      </w:tr>
    </w:tbl>
    <w:p w:rsidR="00B608C7" w:rsidRPr="00C169DB" w:rsidRDefault="00B608C7" w:rsidP="00B608C7">
      <w:pPr>
        <w:spacing w:before="120" w:after="120"/>
        <w:rPr>
          <w:rFonts w:ascii="TitilliumText25L" w:hAnsi="TitilliumText25L"/>
          <w:b/>
          <w:sz w:val="32"/>
          <w:szCs w:val="32"/>
        </w:rPr>
      </w:pPr>
      <w:r w:rsidRPr="00C169DB">
        <w:rPr>
          <w:rFonts w:ascii="TitilliumText25L" w:hAnsi="TitilliumText25L"/>
          <w:iCs/>
        </w:rPr>
        <w:br w:type="page"/>
      </w:r>
      <w:r w:rsidRPr="00C169DB">
        <w:rPr>
          <w:rFonts w:ascii="TitilliumText25L" w:hAnsi="TitilliumText25L"/>
          <w:b/>
          <w:color w:val="C60C30"/>
          <w:sz w:val="32"/>
          <w:szCs w:val="32"/>
        </w:rPr>
        <w:t>GUIDELINE SUMMARY</w:t>
      </w:r>
    </w:p>
    <w:p w:rsidR="00B608C7" w:rsidRPr="00C169DB" w:rsidRDefault="00B608C7" w:rsidP="00B608C7">
      <w:pPr>
        <w:spacing w:before="120" w:after="120"/>
        <w:rPr>
          <w:rFonts w:ascii="TitilliumText25L" w:hAnsi="TitilliumText25L"/>
        </w:rPr>
      </w:pPr>
      <w:r w:rsidRPr="00C169DB">
        <w:rPr>
          <w:rFonts w:ascii="TitilliumText25L" w:hAnsi="TitilliumText25L"/>
        </w:rPr>
        <w:t>This document establishes best practice for</w:t>
      </w:r>
      <w:r w:rsidRPr="00C169DB">
        <w:rPr>
          <w:rFonts w:ascii="TitilliumText25L" w:hAnsi="TitilliumText25L"/>
          <w:color w:val="0070C0"/>
        </w:rPr>
        <w:t xml:space="preserve"> </w:t>
      </w:r>
      <w:r w:rsidRPr="00C169DB">
        <w:rPr>
          <w:rFonts w:ascii="TitilliumText25L" w:hAnsi="TitilliumText25L"/>
          <w:highlight w:val="lightGray"/>
        </w:rPr>
        <w:t>[</w:t>
      </w:r>
      <w:r w:rsidRPr="00C169DB">
        <w:rPr>
          <w:rFonts w:ascii="TitilliumText25L" w:hAnsi="TitilliumText25L"/>
          <w:color w:val="C60C30"/>
          <w:highlight w:val="lightGray"/>
        </w:rPr>
        <w:t>insert local health network or hospital name</w:t>
      </w:r>
      <w:r w:rsidRPr="00C169DB">
        <w:rPr>
          <w:rFonts w:ascii="TitilliumText25L" w:hAnsi="TitilliumText25L"/>
          <w:highlight w:val="lightGray"/>
        </w:rPr>
        <w:t>]</w:t>
      </w:r>
      <w:r w:rsidRPr="00C169DB">
        <w:rPr>
          <w:rFonts w:ascii="TitilliumText25L" w:hAnsi="TitilliumText25L"/>
        </w:rPr>
        <w:t>. While not requiring mandatory compliance, staff must have sound reasons for not implementing standards or practices set out within the guideline, or for measuring consistent variance in practice.</w:t>
      </w:r>
    </w:p>
    <w:p w:rsidR="00056C53" w:rsidRPr="00C169DB" w:rsidRDefault="00056C53" w:rsidP="00056C53">
      <w:pPr>
        <w:spacing w:before="120" w:after="120"/>
        <w:rPr>
          <w:rFonts w:ascii="TitilliumText25L" w:hAnsi="TitilliumText25L"/>
        </w:rPr>
      </w:pPr>
      <w:r w:rsidRPr="00C169DB">
        <w:rPr>
          <w:rFonts w:ascii="TitilliumText25L" w:hAnsi="TitilliumText25L"/>
          <w:b/>
        </w:rPr>
        <w:t xml:space="preserve">INTRODUCTION </w:t>
      </w:r>
    </w:p>
    <w:p w:rsidR="00056C53" w:rsidRPr="00C169DB" w:rsidRDefault="00056C53" w:rsidP="00056C53">
      <w:pPr>
        <w:spacing w:before="120" w:after="120"/>
        <w:rPr>
          <w:rFonts w:ascii="TitilliumText25L" w:hAnsi="TitilliumText25L"/>
        </w:rPr>
      </w:pPr>
      <w:r w:rsidRPr="00C169DB">
        <w:rPr>
          <w:rFonts w:ascii="TitilliumText25L" w:hAnsi="TitilliumText25L"/>
        </w:rPr>
        <w:t>The Single Unit Transfusion Guideline is part of Patient Blood Management (PBM); an evidence based patient centred strategy to improve patient outcomes by minimising blood transfusions.</w:t>
      </w:r>
    </w:p>
    <w:p w:rsidR="00056C53" w:rsidRPr="00C169DB" w:rsidRDefault="00056C53" w:rsidP="00056C53">
      <w:pPr>
        <w:spacing w:before="120" w:after="120"/>
        <w:rPr>
          <w:rFonts w:ascii="TitilliumText25L" w:hAnsi="TitilliumText25L"/>
        </w:rPr>
      </w:pPr>
      <w:r w:rsidRPr="00C169DB">
        <w:rPr>
          <w:rFonts w:ascii="TitilliumText25L" w:hAnsi="TitilliumText25L"/>
        </w:rPr>
        <w:t>The Single Unit Transfusion Guideline can be applied to stable, normovolaemic adult patients, in an inpatient setting, who do not have clinically significant bleeding.</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"id" : "ITEM-3",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"ITEM-3",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"&lt;sup&gt;2,6,7&lt;/sup&gt;"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2,6,7</w:t>
      </w:r>
      <w:r w:rsidRPr="00C169DB">
        <w:rPr>
          <w:rFonts w:ascii="TitilliumText25L" w:hAnsi="TitilliumText25L"/>
        </w:rPr>
        <w:fldChar w:fldCharType="end"/>
      </w:r>
      <w:r w:rsidRPr="00C169DB">
        <w:rPr>
          <w:rFonts w:ascii="TitilliumText25L" w:hAnsi="TitilliumText25L"/>
        </w:rPr>
        <w:t xml:space="preserve"> </w:t>
      </w:r>
      <w:r w:rsidRPr="00C169DB">
        <w:rPr>
          <w:rFonts w:ascii="TitilliumText25L" w:hAnsi="TitilliumText25L"/>
          <w:lang w:val="en-GB"/>
        </w:rPr>
        <w:t>Transfuse one red blood cell unit at a time and only when clinically indicated, based on the need to relieve clinical signs and symptoms of  anaemia.</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4,5</w:t>
      </w:r>
      <w:r w:rsidRPr="00C169DB">
        <w:rPr>
          <w:rFonts w:ascii="TitilliumText25L" w:hAnsi="TitilliumText25L"/>
          <w:lang w:val="en-GB"/>
        </w:rPr>
        <w:fldChar w:fldCharType="end"/>
      </w:r>
      <w:r w:rsidRPr="00C169DB">
        <w:rPr>
          <w:rFonts w:ascii="TitilliumText25L" w:hAnsi="TitilliumText25L"/>
          <w:lang w:val="en-GB"/>
        </w:rPr>
        <w:t xml:space="preserve"> </w:t>
      </w:r>
    </w:p>
    <w:p w:rsidR="00056C53" w:rsidRPr="00C169DB" w:rsidRDefault="00056C53" w:rsidP="00056C53">
      <w:pPr>
        <w:spacing w:before="120" w:after="120"/>
        <w:rPr>
          <w:rFonts w:ascii="TitilliumText25L" w:hAnsi="TitilliumText25L"/>
          <w:bCs/>
        </w:rPr>
      </w:pPr>
      <w:r w:rsidRPr="00C169DB">
        <w:rPr>
          <w:rFonts w:ascii="TitilliumText25L" w:hAnsi="TitilliumText25L"/>
        </w:rPr>
        <w:t xml:space="preserve">Ensure clinical practice is </w:t>
      </w:r>
      <w:r w:rsidRPr="00C169DB">
        <w:rPr>
          <w:rFonts w:ascii="TitilliumText25L" w:hAnsi="TitilliumText25L"/>
          <w:kern w:val="24"/>
        </w:rPr>
        <w:t>in line with the national Patient Blood Management Guidelines:</w:t>
      </w:r>
      <w:r w:rsidRPr="00C169DB">
        <w:rPr>
          <w:rFonts w:ascii="TitilliumText25L" w:hAnsi="TitilliumText25L"/>
          <w:kern w:val="24"/>
        </w:rPr>
        <w:fldChar w:fldCharType="begin" w:fldLock="1"/>
      </w:r>
      <w:r w:rsidRPr="00C169DB">
        <w:rPr>
          <w:rFonts w:ascii="TitilliumText25L" w:hAnsi="TitilliumText25L"/>
          <w:kern w:val="24"/>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"2012" ] ] }, "publisher" : "National Blood Authority", "publisher-place" : "Canberra, Australia", "title" : "Patient blood management guidelines: Module 3 \u2013 Medical", "type" : "book" }, "uris" : [ "http://www.mendeley.com/documents/?uuid=0b45fa2d-24ab-49d5-a0df-007d328f5e3b" ] }, { "id" : "ITEM-3", "itemData" : { "author" : [ { "dropping-particle" : "", "family" : "National Blood Authority", "given" : "", "non-dropping-particle" : "", "parse-names" : false, "suffix" : "" } ], "id" : "ITEM-3", "issued" : { "date-parts" : [ [ "2013" ] ] }, "publisher-place" : "Canberra, Australia", "title" : "Patient blood management guidelines: Module 4 \u2013 Critical Care", "type" : "book" }, "uris" : [ "http://www.mendeley.com/documents/?uuid=ea39fd74-ab5a-47df-93c5-ce717f8041eb" ] } ], "mendeley" : { "previouslyFormattedCitation" : "&lt;sup&gt;3\u20135&lt;/sup&gt;" }, "properties" : { "noteIndex" : 0 }, "schema" : "https://github.com/citation-style-language/schema/raw/master/csl-citation.json" }</w:instrText>
      </w:r>
      <w:r w:rsidRPr="00C169DB">
        <w:rPr>
          <w:rFonts w:ascii="TitilliumText25L" w:hAnsi="TitilliumText25L"/>
          <w:kern w:val="24"/>
        </w:rPr>
        <w:fldChar w:fldCharType="separate"/>
      </w:r>
      <w:r w:rsidRPr="00C169DB">
        <w:rPr>
          <w:rFonts w:ascii="TitilliumText25L" w:hAnsi="TitilliumText25L"/>
          <w:noProof/>
          <w:kern w:val="24"/>
          <w:vertAlign w:val="superscript"/>
        </w:rPr>
        <w:t>3–5</w:t>
      </w:r>
      <w:r w:rsidRPr="00C169DB">
        <w:rPr>
          <w:rFonts w:ascii="TitilliumText25L" w:hAnsi="TitilliumText25L"/>
          <w:kern w:val="24"/>
        </w:rPr>
        <w:fldChar w:fldCharType="end"/>
      </w:r>
      <w:r w:rsidRPr="00C169DB">
        <w:rPr>
          <w:rFonts w:ascii="TitilliumText25L" w:hAnsi="TitilliumText25L"/>
          <w:kern w:val="24"/>
        </w:rPr>
        <w:t xml:space="preserve"> “</w:t>
      </w:r>
      <w:r w:rsidRPr="00C169DB">
        <w:rPr>
          <w:rFonts w:ascii="TitilliumText25L" w:hAnsi="TitilliumText25L"/>
          <w:b/>
          <w:kern w:val="24"/>
        </w:rPr>
        <w:t>Where indicated, transfusion of a single unit of RBC, followed by clinical reassessment to determine the need for further transfusion, is appropriate</w:t>
      </w:r>
      <w:r w:rsidRPr="00C169DB">
        <w:rPr>
          <w:rFonts w:ascii="TitilliumText25L" w:hAnsi="TitilliumText25L"/>
          <w:kern w:val="24"/>
        </w:rPr>
        <w:t>.”</w:t>
      </w:r>
      <w:r w:rsidRPr="00C169DB">
        <w:rPr>
          <w:rFonts w:ascii="TitilliumText25L" w:hAnsi="TitilliumText25L"/>
          <w:kern w:val="24"/>
        </w:rPr>
        <w:fldChar w:fldCharType="begin" w:fldLock="1"/>
      </w:r>
      <w:r w:rsidRPr="00C169DB">
        <w:rPr>
          <w:rFonts w:ascii="TitilliumText25L" w:hAnsi="TitilliumText25L"/>
          <w:kern w:val="24"/>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kern w:val="24"/>
        </w:rPr>
        <w:fldChar w:fldCharType="separate"/>
      </w:r>
      <w:r w:rsidRPr="00C169DB">
        <w:rPr>
          <w:rFonts w:ascii="TitilliumText25L" w:hAnsi="TitilliumText25L"/>
          <w:noProof/>
          <w:kern w:val="24"/>
          <w:vertAlign w:val="superscript"/>
        </w:rPr>
        <w:t>4,5</w:t>
      </w:r>
      <w:r w:rsidRPr="00C169DB">
        <w:rPr>
          <w:rFonts w:ascii="TitilliumText25L" w:hAnsi="TitilliumText25L"/>
          <w:kern w:val="24"/>
        </w:rPr>
        <w:fldChar w:fldCharType="end"/>
      </w:r>
    </w:p>
    <w:p w:rsidR="00B608C7" w:rsidRPr="00C169DB" w:rsidRDefault="00B608C7" w:rsidP="00B608C7">
      <w:pPr>
        <w:spacing w:before="120" w:after="120"/>
        <w:rPr>
          <w:rFonts w:ascii="TitilliumText25L" w:hAnsi="TitilliumText25L"/>
        </w:rPr>
      </w:pPr>
      <w:r w:rsidRPr="00C169DB">
        <w:rPr>
          <w:rFonts w:ascii="TitilliumText25L" w:hAnsi="TitilliumText25L"/>
          <w:b/>
        </w:rPr>
        <w:t>GLOSSARY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608C7" w:rsidRPr="00C169DB" w:rsidTr="002545C7">
        <w:tc>
          <w:tcPr>
            <w:tcW w:w="3528" w:type="dxa"/>
            <w:shd w:val="clear" w:color="auto" w:fill="E6E6E6"/>
          </w:tcPr>
          <w:p w:rsidR="00B608C7" w:rsidRPr="00C169DB" w:rsidRDefault="00B608C7" w:rsidP="002545C7">
            <w:pPr>
              <w:spacing w:before="120" w:after="120"/>
              <w:rPr>
                <w:rFonts w:ascii="TitilliumText25L" w:hAnsi="TitilliumText25L"/>
                <w:b/>
              </w:rPr>
            </w:pPr>
            <w:r w:rsidRPr="00C169DB">
              <w:rPr>
                <w:rFonts w:ascii="TitilliumText25L" w:hAnsi="TitilliumText25L"/>
                <w:b/>
              </w:rPr>
              <w:t>Acronym or Term</w:t>
            </w:r>
          </w:p>
        </w:tc>
        <w:tc>
          <w:tcPr>
            <w:tcW w:w="6300" w:type="dxa"/>
            <w:shd w:val="clear" w:color="auto" w:fill="E6E6E6"/>
          </w:tcPr>
          <w:p w:rsidR="00B608C7" w:rsidRPr="00C169DB" w:rsidRDefault="00B608C7" w:rsidP="002545C7">
            <w:pPr>
              <w:spacing w:before="120" w:after="120"/>
              <w:rPr>
                <w:rFonts w:ascii="TitilliumText25L" w:hAnsi="TitilliumText25L"/>
                <w:b/>
              </w:rPr>
            </w:pPr>
            <w:r w:rsidRPr="00C169DB">
              <w:rPr>
                <w:rFonts w:ascii="TitilliumText25L" w:hAnsi="TitilliumText25L"/>
                <w:b/>
              </w:rPr>
              <w:t>Definition</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NBA</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National Blood Authority</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ARCBS</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Australian Red Cross Blood Service – “The Blood Service”.</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NSQHS</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 xml:space="preserve">National Safety and Quality Health Service </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PBM</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patient blood management</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unit</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single bag of red blood cells</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TACO</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transfusion associated circulatory overload</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Hb</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haemoglobin</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g/L</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grams per litre</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BloodNet</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National Blood Authority inventory management system</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CPOE</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 xml:space="preserve">computerised physician order entry </w:t>
            </w:r>
          </w:p>
        </w:tc>
      </w:tr>
      <w:tr w:rsidR="00B608C7" w:rsidRPr="00C169DB" w:rsidTr="002545C7">
        <w:tc>
          <w:tcPr>
            <w:tcW w:w="3528" w:type="dxa"/>
            <w:shd w:val="clear" w:color="auto" w:fill="auto"/>
          </w:tcPr>
          <w:p w:rsidR="00B608C7" w:rsidRPr="00C169DB" w:rsidRDefault="00B608C7" w:rsidP="002545C7">
            <w:pPr>
              <w:rPr>
                <w:rFonts w:ascii="TitilliumText25L" w:hAnsi="TitilliumText25L"/>
              </w:rPr>
            </w:pPr>
            <w:r w:rsidRPr="00C169DB">
              <w:rPr>
                <w:rFonts w:ascii="TitilliumText25L" w:hAnsi="TitilliumText25L"/>
              </w:rPr>
              <w:t>RBC</w:t>
            </w:r>
          </w:p>
        </w:tc>
        <w:tc>
          <w:tcPr>
            <w:tcW w:w="6300" w:type="dxa"/>
            <w:shd w:val="clear" w:color="auto" w:fill="auto"/>
          </w:tcPr>
          <w:p w:rsidR="00B608C7" w:rsidRPr="00C169DB" w:rsidRDefault="00B608C7" w:rsidP="002545C7">
            <w:pPr>
              <w:ind w:left="74"/>
              <w:rPr>
                <w:rFonts w:ascii="TitilliumText25L" w:hAnsi="TitilliumText25L"/>
              </w:rPr>
            </w:pPr>
            <w:r w:rsidRPr="00C169DB">
              <w:rPr>
                <w:rFonts w:ascii="TitilliumText25L" w:hAnsi="TitilliumText25L"/>
              </w:rPr>
              <w:t>red blood cell</w:t>
            </w:r>
          </w:p>
        </w:tc>
      </w:tr>
    </w:tbl>
    <w:p w:rsidR="00363098" w:rsidRPr="00C169DB" w:rsidRDefault="00363098" w:rsidP="00B608C7">
      <w:pPr>
        <w:spacing w:before="240" w:after="240"/>
        <w:rPr>
          <w:rFonts w:ascii="TitilliumText25L" w:hAnsi="TitilliumText25L"/>
          <w:b/>
          <w:szCs w:val="20"/>
        </w:rPr>
      </w:pPr>
    </w:p>
    <w:p w:rsidR="00363098" w:rsidRPr="00C169DB" w:rsidRDefault="00363098">
      <w:pPr>
        <w:rPr>
          <w:rFonts w:ascii="TitilliumText25L" w:hAnsi="TitilliumText25L"/>
          <w:b/>
          <w:szCs w:val="20"/>
        </w:rPr>
      </w:pPr>
      <w:r w:rsidRPr="00C169DB">
        <w:rPr>
          <w:rFonts w:ascii="TitilliumText25L" w:hAnsi="TitilliumText25L"/>
          <w:b/>
          <w:szCs w:val="20"/>
        </w:rPr>
        <w:br w:type="page"/>
      </w:r>
    </w:p>
    <w:p w:rsidR="00B608C7" w:rsidRPr="00C169DB" w:rsidRDefault="00B608C7" w:rsidP="00E97296">
      <w:pPr>
        <w:spacing w:before="240" w:after="120"/>
        <w:rPr>
          <w:rFonts w:ascii="TitilliumText25L" w:hAnsi="TitilliumText25L"/>
          <w:b/>
          <w:color w:val="C60C30"/>
          <w:sz w:val="32"/>
          <w:szCs w:val="32"/>
        </w:rPr>
      </w:pPr>
      <w:r w:rsidRPr="00C169DB">
        <w:rPr>
          <w:rFonts w:ascii="TitilliumText25L" w:hAnsi="TitilliumText25L"/>
          <w:b/>
          <w:color w:val="C60C30"/>
          <w:sz w:val="32"/>
          <w:szCs w:val="32"/>
        </w:rPr>
        <w:t>GUIDELINE</w:t>
      </w:r>
    </w:p>
    <w:p w:rsidR="00C82717" w:rsidRPr="00C169DB" w:rsidRDefault="00C82717" w:rsidP="00C82717">
      <w:pPr>
        <w:spacing w:after="0"/>
        <w:rPr>
          <w:rFonts w:ascii="TitilliumText25L" w:hAnsi="TitilliumText25L"/>
          <w:b/>
        </w:rPr>
      </w:pPr>
      <w:r w:rsidRPr="00C169DB">
        <w:rPr>
          <w:rFonts w:ascii="TitilliumText25L" w:hAnsi="TitilliumText25L"/>
          <w:b/>
        </w:rPr>
        <w:t xml:space="preserve">AIM: </w:t>
      </w:r>
    </w:p>
    <w:p w:rsidR="00C82717" w:rsidRPr="00C169DB" w:rsidRDefault="00C82717" w:rsidP="00C82717">
      <w:pPr>
        <w:spacing w:after="120"/>
        <w:rPr>
          <w:rFonts w:ascii="TitilliumText25L" w:hAnsi="TitilliumText25L"/>
        </w:rPr>
      </w:pPr>
      <w:r w:rsidRPr="00C169DB">
        <w:rPr>
          <w:rFonts w:ascii="TitilliumText25L" w:hAnsi="TitilliumText25L"/>
        </w:rPr>
        <w:t>To improve clinical practice and patient outcomes through alignment with the Patient Blood Management Guidelines.</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"2012" ] ] }, "publisher" : "National Blood Authority", "publisher-place" : "Canberra, Australia", "title" : "Patient blood management guidelines: Module 3 \u2013 Medical", "type" : "book" }, "uris" : [ "http://www.mendeley.com/documents/?uuid=0b45fa2d-24ab-49d5-a0df-007d328f5e3b" ] }, { "id" : "ITEM-3", "itemData" : { "author" : [ { "dropping-particle" : "", "family" : "National Blood Authority", "given" : "", "non-dropping-particle" : "", "parse-names" : false, "suffix" : "" } ], "id" : "ITEM-3", "issued" : { "date-parts" : [ [ "2013" ] ] }, "publisher-place" : "Canberra, Australia", "title" : "Patient blood management guidelines: Module 4 \u2013 Critical Care", "type" : "book" }, "uris" : [ "http://www.mendeley.com/documents/?uuid=ea39fd74-ab5a-47df-93c5-ce717f8041eb" ] } ], "mendeley" : { "previouslyFormattedCitation" : "&lt;sup&gt;3\u20135&lt;/sup&gt;"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3–5</w:t>
      </w:r>
      <w:r w:rsidRPr="00C169DB">
        <w:rPr>
          <w:rFonts w:ascii="TitilliumText25L" w:hAnsi="TitilliumText25L"/>
        </w:rPr>
        <w:fldChar w:fldCharType="end"/>
      </w:r>
      <w:r w:rsidRPr="00C169DB">
        <w:rPr>
          <w:rFonts w:ascii="TitilliumText25L" w:hAnsi="TitilliumText25L"/>
        </w:rPr>
        <w:t xml:space="preserve"> </w:t>
      </w:r>
    </w:p>
    <w:p w:rsidR="00C82717" w:rsidRPr="00C169DB" w:rsidRDefault="00C82717" w:rsidP="00C82717">
      <w:pPr>
        <w:spacing w:after="120"/>
        <w:rPr>
          <w:rFonts w:ascii="TitilliumText25L" w:hAnsi="TitilliumText25L"/>
        </w:rPr>
      </w:pPr>
      <w:r w:rsidRPr="00C169DB">
        <w:rPr>
          <w:rFonts w:ascii="TitilliumText25L" w:hAnsi="TitilliumText25L"/>
        </w:rPr>
        <w:t>To ensure the safety and efficacy of red blood cell transfusion by confirming every unit transfused is a clinical decision where the expected benefit outweighs the risks.</w:t>
      </w:r>
    </w:p>
    <w:p w:rsidR="00C82717" w:rsidRPr="00C169DB" w:rsidRDefault="00C82717" w:rsidP="00C82717">
      <w:pPr>
        <w:spacing w:after="0"/>
        <w:rPr>
          <w:rFonts w:ascii="TitilliumText25L" w:hAnsi="TitilliumText25L"/>
          <w:b/>
        </w:rPr>
      </w:pPr>
      <w:r w:rsidRPr="00C169DB">
        <w:rPr>
          <w:rFonts w:ascii="TitilliumText25L" w:hAnsi="TitilliumText25L"/>
          <w:b/>
        </w:rPr>
        <w:t xml:space="preserve">WHO: </w:t>
      </w:r>
    </w:p>
    <w:p w:rsidR="00C82717" w:rsidRPr="00C169DB" w:rsidRDefault="00C82717" w:rsidP="00C82717">
      <w:pPr>
        <w:spacing w:after="120"/>
        <w:rPr>
          <w:rFonts w:ascii="TitilliumText25L" w:hAnsi="TitilliumText25L"/>
        </w:rPr>
      </w:pPr>
      <w:r w:rsidRPr="00C169DB">
        <w:rPr>
          <w:rFonts w:ascii="TitilliumText25L" w:hAnsi="TitilliumText25L"/>
        </w:rPr>
        <w:t>This guideline applies to stable, normovolaemic adult patients, in an inpatient setting, who do not have clinically significant bleeding.</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"&lt;sup&gt;2&lt;/sup&gt;"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2</w:t>
      </w:r>
      <w:r w:rsidRPr="00C169DB">
        <w:rPr>
          <w:rFonts w:ascii="TitilliumText25L" w:hAnsi="TitilliumText25L"/>
        </w:rPr>
        <w:fldChar w:fldCharType="end"/>
      </w:r>
      <w:r w:rsidRPr="00C169DB">
        <w:rPr>
          <w:rFonts w:ascii="TitilliumText25L" w:hAnsi="TitilliumText25L"/>
        </w:rPr>
        <w:t xml:space="preserve"> </w:t>
      </w:r>
    </w:p>
    <w:p w:rsidR="00C82717" w:rsidRPr="00C169DB" w:rsidRDefault="00C82717" w:rsidP="00C82717">
      <w:pPr>
        <w:spacing w:after="120"/>
        <w:rPr>
          <w:rFonts w:ascii="TitilliumText25L" w:hAnsi="TitilliumText25L"/>
        </w:rPr>
      </w:pPr>
      <w:r w:rsidRPr="00C169DB">
        <w:rPr>
          <w:rFonts w:ascii="TitilliumText25L" w:hAnsi="TitilliumText25L"/>
        </w:rPr>
        <w:t>Health care clinicians responsible for the clinical assessment, care planning and management of patients potentially requiring red blood cell transfusion therapy, nurses carrying out transfusion related patient care including administration and monitoring of red blood cell transfusions and laboratory staff monitoring transfusion practice should follow this guideline.</w:t>
      </w:r>
    </w:p>
    <w:p w:rsidR="00C82717" w:rsidRPr="00C169DB" w:rsidRDefault="00C82717" w:rsidP="00C82717">
      <w:pPr>
        <w:spacing w:after="0"/>
        <w:rPr>
          <w:rFonts w:ascii="TitilliumText25L" w:hAnsi="TitilliumText25L"/>
          <w:b/>
        </w:rPr>
      </w:pPr>
      <w:r w:rsidRPr="00C169DB">
        <w:rPr>
          <w:rFonts w:ascii="TitilliumText25L" w:hAnsi="TitilliumText25L"/>
          <w:b/>
        </w:rPr>
        <w:t xml:space="preserve">WHAT: </w:t>
      </w:r>
    </w:p>
    <w:p w:rsidR="00C82717" w:rsidRPr="00C169DB" w:rsidRDefault="00C82717" w:rsidP="00C82717">
      <w:pPr>
        <w:spacing w:after="120"/>
        <w:rPr>
          <w:rFonts w:ascii="TitilliumText25L" w:hAnsi="TitilliumText25L"/>
          <w:lang w:val="en-GB"/>
        </w:rPr>
      </w:pPr>
      <w:r w:rsidRPr="00C169DB">
        <w:rPr>
          <w:rFonts w:ascii="TitilliumText25L" w:hAnsi="TitilliumText25L"/>
          <w:lang w:val="en-GB"/>
        </w:rPr>
        <w:t xml:space="preserve">Informed consent must be obtained from the patient or responsible person/guardian. </w:t>
      </w:r>
    </w:p>
    <w:p w:rsidR="00C82717" w:rsidRPr="00C169DB" w:rsidRDefault="00C82717" w:rsidP="00C82717">
      <w:pPr>
        <w:spacing w:after="120"/>
        <w:rPr>
          <w:rFonts w:ascii="TitilliumText25L" w:hAnsi="TitilliumText25L"/>
          <w:lang w:val="en-GB"/>
        </w:rPr>
      </w:pPr>
      <w:r w:rsidRPr="00C169DB">
        <w:rPr>
          <w:rFonts w:ascii="TitilliumText25L" w:hAnsi="TitilliumText25L"/>
          <w:lang w:val="en-GB"/>
        </w:rPr>
        <w:t xml:space="preserve">Each red blood cell transfusion should be an independent clinical decision based on the risk, benefits and alternatives. </w:t>
      </w:r>
    </w:p>
    <w:p w:rsidR="00C82717" w:rsidRPr="00C169DB" w:rsidRDefault="00C82717" w:rsidP="00C82717">
      <w:pPr>
        <w:spacing w:after="120"/>
        <w:rPr>
          <w:rFonts w:ascii="TitilliumText25L" w:hAnsi="TitilliumText25L"/>
          <w:lang w:val="en-GB"/>
        </w:rPr>
      </w:pPr>
      <w:r w:rsidRPr="00C169DB">
        <w:rPr>
          <w:rFonts w:ascii="TitilliumText25L" w:hAnsi="TitilliumText25L"/>
          <w:lang w:val="en-GB"/>
        </w:rPr>
        <w:t>Transfusion should not be based on haemoglobin level alone but should also be based on assessment of the patient’s clinical status.</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4,5</w:t>
      </w:r>
      <w:r w:rsidRPr="00C169DB">
        <w:rPr>
          <w:rFonts w:ascii="TitilliumText25L" w:hAnsi="TitilliumText25L"/>
        </w:rPr>
        <w:fldChar w:fldCharType="end"/>
      </w:r>
      <w:r w:rsidRPr="00C169DB">
        <w:rPr>
          <w:rFonts w:ascii="TitilliumText25L" w:hAnsi="TitilliumText25L"/>
          <w:lang w:val="en-GB"/>
        </w:rPr>
        <w:t xml:space="preserve"> For haemoglobin thresholds, refer to the national Patient Blood Management Guidelines, Module 3 – Medical practice point 3 (PP3) and Module 4 – Critical Care practice point 4 (PP4). </w:t>
      </w:r>
    </w:p>
    <w:p w:rsidR="00C82717" w:rsidRPr="00C169DB" w:rsidRDefault="00C82717" w:rsidP="00C82717">
      <w:pPr>
        <w:spacing w:after="120"/>
        <w:rPr>
          <w:rFonts w:ascii="TitilliumText25L" w:hAnsi="TitilliumText25L"/>
          <w:lang w:val="en-GB"/>
        </w:rPr>
      </w:pPr>
      <w:r w:rsidRPr="00C169DB">
        <w:rPr>
          <w:rFonts w:ascii="TitilliumText25L" w:hAnsi="TitilliumText25L"/>
          <w:lang w:val="en-GB"/>
        </w:rPr>
        <w:t>Transfuse one unit at a time and only when clinically indicated, based on the need to relieve clinical signs and symptoms of  anaemia.</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4,5</w:t>
      </w:r>
      <w:r w:rsidRPr="00C169DB">
        <w:rPr>
          <w:rFonts w:ascii="TitilliumText25L" w:hAnsi="TitilliumText25L"/>
          <w:lang w:val="en-GB"/>
        </w:rPr>
        <w:fldChar w:fldCharType="end"/>
      </w:r>
      <w:r w:rsidRPr="00C169DB">
        <w:rPr>
          <w:rFonts w:ascii="TitilliumText25L" w:hAnsi="TitilliumText25L"/>
          <w:lang w:val="en-GB"/>
        </w:rPr>
        <w:t xml:space="preserve"> Symptoms may include dyspnoea, tachycardia, chest pain, hypotension, increased heart rate and decreased oxygen saturation.</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"abstract" : "Although approximately 85 million units of red blood cells (RBCs) are transfused annually worldwide, transfusion practices vary widely. The AABB (formerly, the American Association of Blood Banks) developed this guideline to provide clinical recommendations about hemoglobin concentration thresholds and other clinical variables that trigger RBC transfusions in hemodynamically stable adults and children.", "author" : [ { "dropping-particle" : "", "family" : "Carson", "given" : "Jeffrey L", "non-dropping-particle" : "", "parse-names" : false, "suffix" : "" } ], "container-title" : "Annals of Internal Medicine", "id" : "ITEM-1", "issue" : "1", "issued" : { "date-parts" : [ [ "2012" ] ] }, "page" : "49-58", "title" : "Red blood cell transfusion: a clinical practice guideline from the AABB", "type" : "article-journal", "volume" : "157" }, "uris" : [ "http://www.mendeley.com/documents/?uuid=1f2a47bc-9d7f-4b77-bdbd-6028e884fabb" ] }, { "id" : "ITEM-2", "itemData" : { "author" : [ { "dropping-particle" : "", "family" : "Rossi", "given" : "E C", "non-dropping-particle" : "", "parse-names" : false, "suffix" : "" } ], "container-title" : "Principles of Transfusion Medicine, Second edition", "id" : "ITEM-2", "issued" : { "date-parts" : [ [ "1996" ] ] }, "title" : "Anaemia and Red cell Transfusion", "type" : "article-journal", "volume" : "1" }, "uris" : [ "http://www.mendeley.com/documents/?uuid=2e29d606-dc65-44eb-b3ba-44a2477d82c7" ] }, { "id" : "ITEM-3", "itemData" : { "author" : [ { "dropping-particle" : "", "family" : "Shander", "given" : "A", "non-dropping-particle" : "", "parse-names" : false, "suffix" : "" } ], "container-title" : "Review Blood Transfus", "id" : "ITEM-3", "issued" : { "date-parts" : [ [ "2012" ] ] }, "title" : "A new perspective on best transfusion practices", "type" : "article-journal", "volume" : "1" }, "uris" : [ "http://www.mendeley.com/documents/?uuid=6c8b828f-556c-41d9-b293-6f1ed9a0ad28" ] } ], "mendeley" : { "previouslyFormattedCitation" : "&lt;sup&gt;8\u201310&lt;/sup&gt;"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8–10</w:t>
      </w:r>
      <w:r w:rsidRPr="00C169DB">
        <w:rPr>
          <w:rFonts w:ascii="TitilliumText25L" w:hAnsi="TitilliumText25L"/>
          <w:lang w:val="en-GB"/>
        </w:rPr>
        <w:fldChar w:fldCharType="end"/>
      </w:r>
      <w:r w:rsidRPr="00C169DB">
        <w:rPr>
          <w:rFonts w:ascii="TitilliumText25L" w:hAnsi="TitilliumText25L"/>
          <w:lang w:val="en-GB"/>
        </w:rPr>
        <w:t xml:space="preserve"> </w:t>
      </w:r>
    </w:p>
    <w:p w:rsidR="00C82717" w:rsidRPr="00C169DB" w:rsidRDefault="00C82717" w:rsidP="00C82717">
      <w:pPr>
        <w:spacing w:after="0"/>
        <w:rPr>
          <w:rFonts w:ascii="TitilliumText25L" w:hAnsi="TitilliumText25L"/>
          <w:b/>
        </w:rPr>
      </w:pPr>
      <w:r w:rsidRPr="00C169DB">
        <w:rPr>
          <w:rFonts w:ascii="TitilliumText25L" w:hAnsi="TitilliumText25L"/>
          <w:b/>
        </w:rPr>
        <w:t xml:space="preserve">WHY: </w:t>
      </w:r>
    </w:p>
    <w:p w:rsidR="00C82717" w:rsidRPr="00C169DB" w:rsidRDefault="00C82717" w:rsidP="00C82717">
      <w:pPr>
        <w:pStyle w:val="ListParagraph"/>
        <w:spacing w:after="120"/>
        <w:ind w:left="0"/>
        <w:contextualSpacing w:val="0"/>
        <w:rPr>
          <w:rFonts w:ascii="TitilliumText25L" w:hAnsi="TitilliumText25L"/>
          <w:lang w:val="en-GB"/>
        </w:rPr>
      </w:pPr>
      <w:r w:rsidRPr="00C169DB">
        <w:rPr>
          <w:rFonts w:ascii="TitilliumText25L" w:hAnsi="TitilliumText25L" w:cs="Times New Roman"/>
          <w:lang w:val="en-GB"/>
        </w:rPr>
        <w:t>Transfusing single units of red blood cells may reduce a patient’s  exposure to allogeneic blood</w:t>
      </w:r>
      <w:r w:rsidRPr="00C169DB">
        <w:rPr>
          <w:rFonts w:ascii="TitilliumText25L" w:hAnsi="TitilliumText25L"/>
          <w:lang w:val="en-GB"/>
        </w:rPr>
        <w:t>.</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"mendeley" : { "previouslyFormattedCitation" : "&lt;sup&gt;6,7&lt;/sup&gt;"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6,7</w:t>
      </w:r>
      <w:r w:rsidRPr="00C169DB">
        <w:rPr>
          <w:rFonts w:ascii="TitilliumText25L" w:hAnsi="TitilliumText25L"/>
          <w:lang w:val="en-GB"/>
        </w:rPr>
        <w:fldChar w:fldCharType="end"/>
      </w:r>
      <w:r w:rsidRPr="00C169DB">
        <w:rPr>
          <w:rFonts w:ascii="TitilliumText25L" w:hAnsi="TitilliumText25L"/>
          <w:lang w:val="en-GB"/>
        </w:rPr>
        <w:t xml:space="preserve"> </w:t>
      </w:r>
    </w:p>
    <w:p w:rsidR="00C82717" w:rsidRPr="00C169DB" w:rsidRDefault="00C82717" w:rsidP="00C82717">
      <w:pPr>
        <w:pStyle w:val="ListParagraph"/>
        <w:spacing w:after="120"/>
        <w:ind w:left="0"/>
        <w:contextualSpacing w:val="0"/>
        <w:rPr>
          <w:rFonts w:ascii="TitilliumText25L" w:hAnsi="TitilliumText25L"/>
          <w:lang w:val="en-GB"/>
        </w:rPr>
      </w:pPr>
      <w:r w:rsidRPr="00C169DB">
        <w:rPr>
          <w:rFonts w:ascii="TitilliumText25L" w:hAnsi="TitilliumText25L"/>
          <w:lang w:val="en-GB"/>
        </w:rPr>
        <w:t>Transfusion is a live tissue transplant and not without associated risks.</w:t>
      </w:r>
      <w:r w:rsidRPr="00C169DB" w:rsidDel="007C3A93">
        <w:rPr>
          <w:rFonts w:ascii="TitilliumText25L" w:hAnsi="TitilliumText25L"/>
          <w:lang w:val="en-GB"/>
        </w:rPr>
        <w:t xml:space="preserve"> </w:t>
      </w:r>
    </w:p>
    <w:p w:rsidR="00C82717" w:rsidRPr="00C169DB" w:rsidRDefault="00C82717" w:rsidP="00C82717">
      <w:pPr>
        <w:pStyle w:val="ListParagraph"/>
        <w:spacing w:after="120"/>
        <w:ind w:left="0"/>
        <w:contextualSpacing w:val="0"/>
        <w:rPr>
          <w:rFonts w:ascii="TitilliumText25L" w:hAnsi="TitilliumText25L"/>
          <w:lang w:val="en-GB"/>
        </w:rPr>
      </w:pPr>
      <w:r w:rsidRPr="00C169DB">
        <w:rPr>
          <w:rFonts w:ascii="TitilliumText25L" w:hAnsi="TitilliumText25L"/>
          <w:lang w:val="en-GB"/>
        </w:rPr>
        <w:t>Optimising patient tolerance of anaemia is one of the three pillars of patient blood management.</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"2012" ] ] }, "publisher" : "National Blood Authority", "publisher-place" : "Canberra, Australia", "title" : "Patient blood management guidelines: Module 3 \u2013 Medical", "type" : "book" }, "uris" : [ "http://www.mendeley.com/documents/?uuid=0b45fa2d-24ab-49d5-a0df-007d328f5e3b" ] }, { "id" : "ITEM-3", "itemData" : { "author" : [ { "dropping-particle" : "", "family" : "National Blood Authority", "given" : "", "non-dropping-particle" : "", "parse-names" : false, "suffix" : "" } ], "id" : "ITEM-3", "issued" : { "date-parts" : [ [ "2011" ] ] }, "publisher-place" : "Canberra, Australia", "title" : "Patient Blood Management Guidelines: Module 1 - Critical Bleeding / Massive Transfusion", "type" : "book" }, "uris" : [ "http://www.mendeley.com/documents/?uuid=50da7b99-4c47-42eb-82ba-94405ba2c947" ] }, { "id" : "ITEM-4", "itemData" : { "author" : [ { "dropping-particle" : "", "family" : "National Blood Authority", "given" : "", "non-dropping-particle" : "", "parse-names" : false, "suffix" : "" } ], "id" : "ITEM-4", "issued" : { "date-parts" : [ [ "2013" ] ] }, "publisher-place" : "Canberra, Australia", "title" : "Patient blood management guidelines: Module 4 \u2013 Critical Care", "type" : "book" }, "uris" : [ "http://www.mendeley.com/documents/?uuid=ea39fd74-ab5a-47df-93c5-ce717f8041eb" ] } ], "mendeley" : { "previouslyFormattedCitation" : "&lt;sup&gt;3\u20135,11&lt;/sup&gt;"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3–5,11</w:t>
      </w:r>
      <w:r w:rsidRPr="00C169DB">
        <w:rPr>
          <w:rFonts w:ascii="TitilliumText25L" w:hAnsi="TitilliumText25L"/>
          <w:lang w:val="en-GB"/>
        </w:rPr>
        <w:fldChar w:fldCharType="end"/>
      </w:r>
      <w:r w:rsidRPr="00C169DB">
        <w:rPr>
          <w:rFonts w:ascii="TitilliumText25L" w:hAnsi="TitilliumText25L"/>
          <w:lang w:val="en-GB"/>
        </w:rPr>
        <w:t xml:space="preserve"> </w:t>
      </w:r>
    </w:p>
    <w:p w:rsidR="00C82717" w:rsidRPr="00C169DB" w:rsidRDefault="00C82717" w:rsidP="00C82717">
      <w:pPr>
        <w:pStyle w:val="ListParagraph"/>
        <w:spacing w:after="120"/>
        <w:ind w:left="0"/>
        <w:contextualSpacing w:val="0"/>
        <w:rPr>
          <w:rFonts w:ascii="TitilliumText25L" w:hAnsi="TitilliumText25L"/>
          <w:b/>
          <w:lang w:val="en-GB"/>
        </w:rPr>
      </w:pPr>
      <w:r w:rsidRPr="00C169DB">
        <w:rPr>
          <w:rFonts w:ascii="TitilliumText25L" w:hAnsi="TitilliumText25L"/>
          <w:b/>
          <w:lang w:val="en-GB"/>
        </w:rPr>
        <w:t xml:space="preserve">Risks associated with transfusion are dose dependent: </w:t>
      </w:r>
    </w:p>
    <w:p w:rsidR="00C82717" w:rsidRPr="00C169DB" w:rsidRDefault="00C82717" w:rsidP="00C82717">
      <w:pPr>
        <w:numPr>
          <w:ilvl w:val="0"/>
          <w:numId w:val="5"/>
        </w:numPr>
        <w:spacing w:after="120"/>
        <w:rPr>
          <w:rFonts w:ascii="TitilliumText25L" w:hAnsi="TitilliumText25L"/>
          <w:szCs w:val="20"/>
        </w:rPr>
      </w:pPr>
      <w:r w:rsidRPr="00C169DB">
        <w:rPr>
          <w:rFonts w:ascii="TitilliumText25L" w:hAnsi="TitilliumText25L"/>
          <w:szCs w:val="20"/>
        </w:rPr>
        <w:t>Red blood cell transfusion may be associated with a dose-dependent increased risk of nosocomial infection and other morbidities.</w:t>
      </w:r>
      <w:r w:rsidRPr="00C169DB">
        <w:rPr>
          <w:rFonts w:ascii="TitilliumText25L" w:hAnsi="TitilliumText25L"/>
          <w:szCs w:val="20"/>
        </w:rPr>
        <w:fldChar w:fldCharType="begin" w:fldLock="1"/>
      </w:r>
      <w:r w:rsidRPr="00C169DB">
        <w:rPr>
          <w:rFonts w:ascii="TitilliumText25L" w:hAnsi="TitilliumText25L"/>
          <w:szCs w:val="20"/>
        </w:rPr>
        <w:instrText>ADDIN CSL_CITATION { "citationItems" : [ { "id" : "ITEM-1", "itemData" : { "author" : [ { "dropping-particle" : "", "family" : "Koch CG  Duncan AI et al", "given" : "Li L", "non-dropping-particle" : "", "parse-names" : false, "suffix" : "" } ], "container-title" : "Crit Care Med 2006", "id" : "ITEM-1", "issue" : "34", "issued" : { "date-parts" : [ [ "2006" ] ] }, "page" : "1608-1616", "title" : "Morbidity and mortality risk associated with red blood cell and blood-component transfusion in isolated coronary artery bypass grafting.", "type" : "article-journal", "volume" : "34" }, "uris" : [ "http://www.mendeley.com/documents/?uuid=92a943f7-35b9-4e46-948d-e1033d47cc97" ] }, { "id" : "ITEM-2", "itemData" : { "author" : [ { "dropping-particle" : "", "family" : "Hajjar LA Vincent JL et al.", "given" : "", "non-dropping-particle" : "", "parse-names" : false, "suffix" : "" } ], "container-title" : "JAMA - Journal of the American Medical Association", "id" : "ITEM-2", "issue" : "304", "issued" : { "date-parts" : [ [ "0" ] ] }, "page" : "304:1559-1567", "title" : "Transfusion requirements after cardiac surgery: the TRACS randomised controlled trial.", "type" : "article-journal", "volume" : "304" }, "uris" : [ "http://www.mendeley.com/documents/?uuid=f204d20a-6164-4ae2-8c61-0482cc10f507" ] } ], "mendeley" : { "previouslyFormattedCitation" : "&lt;sup&gt;12,13&lt;/sup&gt;" }, "properties" : { "noteIndex" : 0 }, "schema" : "https://github.com/citation-style-language/schema/raw/master/csl-citation.json" }</w:instrText>
      </w:r>
      <w:r w:rsidRPr="00C169DB">
        <w:rPr>
          <w:rFonts w:ascii="TitilliumText25L" w:hAnsi="TitilliumText25L"/>
          <w:szCs w:val="20"/>
        </w:rPr>
        <w:fldChar w:fldCharType="separate"/>
      </w:r>
      <w:r w:rsidRPr="00C169DB">
        <w:rPr>
          <w:rFonts w:ascii="TitilliumText25L" w:hAnsi="TitilliumText25L"/>
          <w:noProof/>
          <w:szCs w:val="20"/>
          <w:vertAlign w:val="superscript"/>
        </w:rPr>
        <w:t>12,13</w:t>
      </w:r>
      <w:r w:rsidRPr="00C169DB">
        <w:rPr>
          <w:rFonts w:ascii="TitilliumText25L" w:hAnsi="TitilliumText25L"/>
          <w:szCs w:val="20"/>
        </w:rPr>
        <w:fldChar w:fldCharType="end"/>
      </w:r>
      <w:r w:rsidRPr="00C169DB">
        <w:rPr>
          <w:rFonts w:ascii="TitilliumText25L" w:hAnsi="TitilliumText25L"/>
          <w:szCs w:val="20"/>
        </w:rPr>
        <w:t xml:space="preserve"> For further information on transfusion risks see Appendix B of the national Patient Blood Management Guidelines.</w:t>
      </w:r>
      <w:r w:rsidRPr="00C169DB">
        <w:rPr>
          <w:rFonts w:ascii="TitilliumText25L" w:hAnsi="TitilliumText25L"/>
          <w:szCs w:val="20"/>
        </w:rPr>
        <w:fldChar w:fldCharType="begin" w:fldLock="1"/>
      </w:r>
      <w:r w:rsidRPr="00C169DB">
        <w:rPr>
          <w:rFonts w:ascii="TitilliumText25L" w:hAnsi="TitilliumText25L"/>
          <w:szCs w:val="20"/>
        </w:rPr>
        <w:instrText>ADDIN CSL_CITATION { "citationItems" : [ { "id" : "ITEM-1", "itemData" : { "author" : [ { "dropping-particle" : "", "family" : "National Blood Authority", "given" : "", "non-dropping-particle" : "", "parse-names" : false, "suffix" : "" } ], "id" : "ITEM-1", "issued" : { "date-parts" : [ [ "2012" ] ] }, "publisher-place" : "Canberra, Australia", "title" : "Patient blood management guidelines: Module 2 \u2013 Perioperative.", "type" : "book" }, "uris" : [ "http://www.mendeley.com/documents/?uuid=956cf09d-f9be-4289-a9d0-a6445424b170" ] }, { "id" : "ITEM-2", "itemData" : { "author" : [ { "dropping-particle" : "", "family" : "National Blood Authority", "given" : "", "non-dropping-particle" : "", "parse-names" : false, "suffix" : "" } ], "id" : "ITEM-2", "issued" : { "date-parts" : [ [ "2012" ] ] }, "publisher" : "National Blood Authority", "publisher-place" : "Canberra, Australia", "title" : "Patient blood management guidelines: Module 3 \u2013 Medical", "type" : "book" }, "uris" : [ "http://www.mendeley.com/documents/?uuid=0b45fa2d-24ab-49d5-a0df-007d328f5e3b" ] }, { "id" : "ITEM-3", "itemData" : { "author" : [ { "dropping-particle" : "", "family" : "National Blood Authority", "given" : "", "non-dropping-particle" : "", "parse-names" : false, "suffix" : "" } ], "id" : "ITEM-3", "issued" : { "date-parts" : [ [ "2011" ] ] }, "publisher-place" : "Canberra, Australia", "title" : "Patient Blood Management Guidelines: Module 1 - Critical Bleeding / Massive Transfusion", "type" : "book" }, "uris" : [ "http://www.mendeley.com/documents/?uuid=50da7b99-4c47-42eb-82ba-94405ba2c947" ] }, { "id" : "ITEM-4", "itemData" : { "author" : [ { "dropping-particle" : "", "family" : "National Blood Authority", "given" : "", "non-dropping-particle" : "", "parse-names" : false, "suffix" : "" } ], "id" : "ITEM-4", "issued" : { "date-parts" : [ [ "2013" ] ] }, "publisher-place" : "Canberra, Australia", "title" : "Patient blood management guidelines: Module 4 \u2013 Critical Care", "type" : "book" }, "uris" : [ "http://www.mendeley.com/documents/?uuid=ea39fd74-ab5a-47df-93c5-ce717f8041eb" ] } ], "mendeley" : { "previouslyFormattedCitation" : "&lt;sup&gt;3\u20135,11&lt;/sup&gt;" }, "properties" : { "noteIndex" : 0 }, "schema" : "https://github.com/citation-style-language/schema/raw/master/csl-citation.json" }</w:instrText>
      </w:r>
      <w:r w:rsidRPr="00C169DB">
        <w:rPr>
          <w:rFonts w:ascii="TitilliumText25L" w:hAnsi="TitilliumText25L"/>
          <w:szCs w:val="20"/>
        </w:rPr>
        <w:fldChar w:fldCharType="separate"/>
      </w:r>
      <w:r w:rsidRPr="00C169DB">
        <w:rPr>
          <w:rFonts w:ascii="TitilliumText25L" w:hAnsi="TitilliumText25L"/>
          <w:noProof/>
          <w:szCs w:val="20"/>
          <w:vertAlign w:val="superscript"/>
        </w:rPr>
        <w:t>3–5,11</w:t>
      </w:r>
      <w:r w:rsidRPr="00C169DB">
        <w:rPr>
          <w:rFonts w:ascii="TitilliumText25L" w:hAnsi="TitilliumText25L"/>
          <w:szCs w:val="20"/>
        </w:rPr>
        <w:fldChar w:fldCharType="end"/>
      </w:r>
      <w:r w:rsidRPr="00C169DB">
        <w:rPr>
          <w:rFonts w:ascii="TitilliumText25L" w:hAnsi="TitilliumText25L"/>
          <w:szCs w:val="20"/>
        </w:rPr>
        <w:t xml:space="preserve"> </w:t>
      </w:r>
    </w:p>
    <w:p w:rsidR="00C82717" w:rsidRPr="00C169DB" w:rsidRDefault="00C82717" w:rsidP="00C82717">
      <w:pPr>
        <w:pStyle w:val="ListParagraph"/>
        <w:numPr>
          <w:ilvl w:val="0"/>
          <w:numId w:val="5"/>
        </w:numPr>
        <w:spacing w:after="120"/>
        <w:contextualSpacing w:val="0"/>
        <w:rPr>
          <w:rFonts w:ascii="TitilliumText25L" w:hAnsi="TitilliumText25L"/>
          <w:b/>
          <w:lang w:val="en-GB"/>
        </w:rPr>
      </w:pPr>
      <w:r w:rsidRPr="00C169DB">
        <w:rPr>
          <w:rFonts w:ascii="TitilliumText25L" w:hAnsi="TitilliumText25L"/>
          <w:lang w:val="en-GB"/>
        </w:rPr>
        <w:t>If one unit has achieved the stated outcome for the transfusion, for example improvement in clinical signs and symptoms of anaemia, further units will only increase the risks.</w:t>
      </w:r>
    </w:p>
    <w:p w:rsidR="00056C53" w:rsidRPr="00C169DB" w:rsidRDefault="00C82717" w:rsidP="00C82717">
      <w:pPr>
        <w:pStyle w:val="ListParagraph"/>
        <w:spacing w:after="0"/>
        <w:ind w:left="0"/>
        <w:contextualSpacing w:val="0"/>
        <w:rPr>
          <w:rFonts w:ascii="TitilliumText25L" w:hAnsi="TitilliumText25L"/>
          <w:lang w:val="en-GB"/>
        </w:rPr>
      </w:pPr>
      <w:r w:rsidRPr="00C169DB">
        <w:rPr>
          <w:rFonts w:ascii="TitilliumText25L" w:hAnsi="TitilliumText25L"/>
          <w:lang w:val="en-GB"/>
        </w:rPr>
        <w:t>It is important to ensure that practice aligns with the national Patient Blood Management Guidelines (Module 2 – Perioperative, Module 3 - Medical and Module 4 - Critical Care) that support single unit transfusion.</w:t>
      </w:r>
    </w:p>
    <w:p w:rsidR="00056C53" w:rsidRPr="00C169DB" w:rsidRDefault="00056C53">
      <w:pPr>
        <w:rPr>
          <w:rFonts w:ascii="TitilliumText25L" w:hAnsi="TitilliumText25L"/>
          <w:lang w:val="en-GB"/>
        </w:rPr>
      </w:pPr>
      <w:r w:rsidRPr="00C169DB">
        <w:rPr>
          <w:rFonts w:ascii="TitilliumText25L" w:hAnsi="TitilliumText25L"/>
          <w:lang w:val="en-GB"/>
        </w:rPr>
        <w:br w:type="page"/>
      </w:r>
    </w:p>
    <w:p w:rsidR="00C82717" w:rsidRPr="00C169DB" w:rsidRDefault="00C82717" w:rsidP="00C82717">
      <w:pPr>
        <w:spacing w:after="120"/>
        <w:rPr>
          <w:rFonts w:ascii="TitilliumText25L" w:hAnsi="TitilliumText25L"/>
        </w:rPr>
      </w:pPr>
      <w:r w:rsidRPr="00C169DB">
        <w:rPr>
          <w:rFonts w:ascii="TitilliumText25L" w:eastAsia="Calibri" w:hAnsi="TitilliumText25L"/>
        </w:rPr>
        <w:t xml:space="preserve">The </w:t>
      </w:r>
      <w:hyperlink r:id="rId38" w:history="1">
        <w:r w:rsidRPr="00C169DB">
          <w:rPr>
            <w:rStyle w:val="Hyperlink"/>
            <w:rFonts w:ascii="TitilliumText25L" w:eastAsia="Calibri" w:hAnsi="TitilliumText25L"/>
          </w:rPr>
          <w:t>National Safety and Quality Health Service Standard 7: Blood and Blood Products</w:t>
        </w:r>
      </w:hyperlink>
      <w:r w:rsidRPr="00C169DB">
        <w:rPr>
          <w:rFonts w:ascii="TitilliumText25L" w:eastAsia="Calibri" w:hAnsi="TitilliumText25L"/>
        </w:rPr>
        <w:t xml:space="preserve"> requires blood and blood product policies and procedures to be consistent with national evidence based guidelines for pre-transfusion practices, prescribing and clinical use of blood and blood products.</w:t>
      </w:r>
      <w:r w:rsidRPr="00C169DB">
        <w:rPr>
          <w:rFonts w:ascii="TitilliumText25L" w:eastAsia="Calibri" w:hAnsi="TitilliumText25L"/>
        </w:rPr>
        <w:fldChar w:fldCharType="begin" w:fldLock="1"/>
      </w:r>
      <w:r w:rsidRPr="00C169DB">
        <w:rPr>
          <w:rFonts w:ascii="TitilliumText25L" w:eastAsia="Calibri" w:hAnsi="TitilliumText25L"/>
        </w:rPr>
        <w:instrText>ADDIN CSL_CITATION { "citationItems" : [ { "id" : "ITEM-1", "itemData" : { "author" : [ { "dropping-particle" : "", "family" : "Australian Commission on Safety and Quality in Healthcare", "given" : "", "non-dropping-particle" : "", "parse-names" : false, "suffix" : "" } ], "container-title" : "ACSQHC", "id" : "ITEM-1", "issued" : { "date-parts" : [ [ "2012" ] ] }, "title" : "Safety and Quality Improvement Guide Standard 7: Blood and Blood Products", "type" : "book" }, "uris" : [ "http://www.mendeley.com/documents/?uuid=bc00cee3-5cc2-41e6-8c61-bd93566fb71a" ] } ], "mendeley" : { "previouslyFormattedCitation" : "&lt;sup&gt;14&lt;/sup&gt;" }, "properties" : { "noteIndex" : 0 }, "schema" : "https://github.com/citation-style-language/schema/raw/master/csl-citation.json" }</w:instrText>
      </w:r>
      <w:r w:rsidRPr="00C169DB">
        <w:rPr>
          <w:rFonts w:ascii="TitilliumText25L" w:eastAsia="Calibri" w:hAnsi="TitilliumText25L"/>
        </w:rPr>
        <w:fldChar w:fldCharType="separate"/>
      </w:r>
      <w:r w:rsidRPr="00C169DB">
        <w:rPr>
          <w:rFonts w:ascii="TitilliumText25L" w:eastAsia="Calibri" w:hAnsi="TitilliumText25L"/>
          <w:noProof/>
          <w:vertAlign w:val="superscript"/>
        </w:rPr>
        <w:t>14</w:t>
      </w:r>
      <w:r w:rsidRPr="00C169DB">
        <w:rPr>
          <w:rFonts w:ascii="TitilliumText25L" w:eastAsia="Calibri" w:hAnsi="TitilliumText25L"/>
        </w:rPr>
        <w:fldChar w:fldCharType="end"/>
      </w:r>
      <w:r w:rsidRPr="00C169DB">
        <w:rPr>
          <w:rFonts w:ascii="TitilliumText25L" w:eastAsia="Calibri" w:hAnsi="TitilliumText25L"/>
        </w:rPr>
        <w:t xml:space="preserve">  </w:t>
      </w:r>
    </w:p>
    <w:p w:rsidR="00C82717" w:rsidRPr="00C169DB" w:rsidRDefault="00C82717" w:rsidP="00C82717">
      <w:pPr>
        <w:numPr>
          <w:ilvl w:val="0"/>
          <w:numId w:val="5"/>
        </w:numPr>
        <w:spacing w:after="120"/>
        <w:rPr>
          <w:rFonts w:ascii="TitilliumText25L" w:eastAsia="Calibri" w:hAnsi="TitilliumText25L"/>
        </w:rPr>
      </w:pPr>
      <w:r w:rsidRPr="00C169DB">
        <w:rPr>
          <w:rFonts w:ascii="TitilliumText25L" w:eastAsia="Calibri" w:hAnsi="TitilliumText25L"/>
        </w:rPr>
        <w:t xml:space="preserve">7.1.1 Blood &amp; blood product policies, procedures and/or protocols are </w:t>
      </w:r>
      <w:r w:rsidRPr="00C169DB">
        <w:rPr>
          <w:rFonts w:ascii="TitilliumText25L" w:eastAsia="Calibri" w:hAnsi="TitilliumText25L"/>
          <w:b/>
        </w:rPr>
        <w:t>consistent with national evidence based guidelines</w:t>
      </w:r>
      <w:r w:rsidRPr="00C169DB">
        <w:rPr>
          <w:rFonts w:ascii="TitilliumText25L" w:eastAsia="Calibri" w:hAnsi="TitilliumText25L"/>
        </w:rPr>
        <w:t xml:space="preserve"> for pre-transfusion practices, prescribing &amp; clinical use of blood &amp; blood products</w:t>
      </w:r>
    </w:p>
    <w:p w:rsidR="00C82717" w:rsidRPr="00C169DB" w:rsidRDefault="00C82717" w:rsidP="00C82717">
      <w:pPr>
        <w:numPr>
          <w:ilvl w:val="0"/>
          <w:numId w:val="5"/>
        </w:numPr>
        <w:spacing w:after="120"/>
        <w:rPr>
          <w:rFonts w:ascii="TitilliumText25L" w:eastAsia="Calibri" w:hAnsi="TitilliumText25L"/>
        </w:rPr>
      </w:pPr>
      <w:r w:rsidRPr="00C169DB">
        <w:rPr>
          <w:rFonts w:ascii="TitilliumText25L" w:eastAsia="Calibri" w:hAnsi="TitilliumText25L"/>
        </w:rPr>
        <w:t xml:space="preserve">7.1.3 Action is taken to </w:t>
      </w:r>
      <w:r w:rsidRPr="00C169DB">
        <w:rPr>
          <w:rFonts w:ascii="TitilliumText25L" w:eastAsia="Calibri" w:hAnsi="TitilliumText25L"/>
          <w:b/>
        </w:rPr>
        <w:t>increase the safety &amp; appropriateness</w:t>
      </w:r>
      <w:r w:rsidRPr="00C169DB">
        <w:rPr>
          <w:rFonts w:ascii="TitilliumText25L" w:eastAsia="Calibri" w:hAnsi="TitilliumText25L"/>
        </w:rPr>
        <w:t xml:space="preserve"> of prescribing &amp; clinically using blood &amp; blood products</w:t>
      </w:r>
    </w:p>
    <w:p w:rsidR="00C82717" w:rsidRPr="00C169DB" w:rsidRDefault="00C82717" w:rsidP="00C82717">
      <w:pPr>
        <w:numPr>
          <w:ilvl w:val="0"/>
          <w:numId w:val="5"/>
        </w:numPr>
        <w:spacing w:after="120"/>
        <w:rPr>
          <w:rFonts w:ascii="TitilliumText25L" w:eastAsia="Calibri" w:hAnsi="TitilliumText25L"/>
        </w:rPr>
      </w:pPr>
      <w:r w:rsidRPr="00C169DB">
        <w:rPr>
          <w:rFonts w:ascii="TitilliumText25L" w:eastAsia="Calibri" w:hAnsi="TitilliumText25L"/>
        </w:rPr>
        <w:t xml:space="preserve">7.2.2 Action is taken to </w:t>
      </w:r>
      <w:r w:rsidRPr="00C169DB">
        <w:rPr>
          <w:rFonts w:ascii="TitilliumText25L" w:eastAsia="Calibri" w:hAnsi="TitilliumText25L"/>
          <w:b/>
        </w:rPr>
        <w:t>reduce the risks</w:t>
      </w:r>
      <w:r w:rsidRPr="00C169DB">
        <w:rPr>
          <w:rFonts w:ascii="TitilliumText25L" w:eastAsia="Calibri" w:hAnsi="TitilliumText25L"/>
        </w:rPr>
        <w:t xml:space="preserve"> associated with transfusion practices &amp; the clinical use of blood and blood products</w:t>
      </w:r>
    </w:p>
    <w:p w:rsidR="00C82717" w:rsidRPr="00C169DB" w:rsidRDefault="00C82717" w:rsidP="00C82717">
      <w:pPr>
        <w:numPr>
          <w:ilvl w:val="0"/>
          <w:numId w:val="5"/>
        </w:numPr>
        <w:spacing w:after="120"/>
        <w:rPr>
          <w:rFonts w:ascii="TitilliumText25L" w:eastAsia="Calibri" w:hAnsi="TitilliumText25L"/>
        </w:rPr>
      </w:pPr>
      <w:r w:rsidRPr="00C169DB">
        <w:rPr>
          <w:rFonts w:ascii="TitilliumText25L" w:eastAsia="Calibri" w:hAnsi="TitilliumText25L"/>
        </w:rPr>
        <w:t>7.4.1 Quality improvement activities are undertaken to reduce the risks of patient harm from transfusion practices &amp; the clinical use of blood &amp; blood products</w:t>
      </w:r>
    </w:p>
    <w:p w:rsidR="00C82717" w:rsidRPr="00C169DB" w:rsidRDefault="00C82717" w:rsidP="00C82717">
      <w:pPr>
        <w:spacing w:after="120"/>
        <w:rPr>
          <w:rFonts w:ascii="TitilliumText25L" w:hAnsi="TitilliumText25L"/>
        </w:rPr>
      </w:pPr>
      <w:r w:rsidRPr="00C169DB">
        <w:rPr>
          <w:rFonts w:ascii="TitilliumText25L" w:hAnsi="TitilliumText25L"/>
        </w:rPr>
        <w:t xml:space="preserve">Single unit transfusions are appropriate in </w:t>
      </w:r>
      <w:r w:rsidRPr="00C169DB">
        <w:rPr>
          <w:rFonts w:ascii="TitilliumText25L" w:hAnsi="TitilliumText25L"/>
          <w:b/>
        </w:rPr>
        <w:t xml:space="preserve">stable adult </w:t>
      </w:r>
      <w:r w:rsidRPr="00C169DB">
        <w:rPr>
          <w:rFonts w:ascii="TitilliumText25L" w:hAnsi="TitilliumText25L"/>
        </w:rPr>
        <w:t xml:space="preserve">patients, in an </w:t>
      </w:r>
      <w:r w:rsidRPr="00C169DB">
        <w:rPr>
          <w:rFonts w:ascii="TitilliumText25L" w:hAnsi="TitilliumText25L"/>
          <w:b/>
        </w:rPr>
        <w:t>inpatient</w:t>
      </w:r>
      <w:r w:rsidRPr="00C169DB">
        <w:rPr>
          <w:rFonts w:ascii="TitilliumText25L" w:hAnsi="TitilliumText25L"/>
        </w:rPr>
        <w:t xml:space="preserve"> setting, who </w:t>
      </w:r>
      <w:r w:rsidRPr="00C169DB">
        <w:rPr>
          <w:rFonts w:ascii="TitilliumText25L" w:hAnsi="TitilliumText25L"/>
          <w:b/>
        </w:rPr>
        <w:t>do not have clinically significant bleeding</w:t>
      </w:r>
      <w:r w:rsidRPr="00C169DB">
        <w:rPr>
          <w:rFonts w:ascii="TitilliumText25L" w:hAnsi="TitilliumText25L"/>
        </w:rPr>
        <w:t xml:space="preserve"> and may reduce transfusion associated morbidity and mortality.</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"The British Committee for Standards in Haematology", "given" : "", "non-dropping-particle" : "", "parse-names" : false, "suffix" : "" } ], "id" : "ITEM-1", "issue" : "August", "issued" : { "date-parts" : [ [ "2012" ] ] }, "page" : "1-4", "title" : "Guidelines on the Administration of Blood Components. Addendum to Administration of Blood Components, August 2012", "type" : "article-journal" }, "uris" : [ "http://www.mendeley.com/documents/?uuid=57a24f16-b5f2-461f-b1a8-01a5254b1f19" ] }, { "id" : "ITEM-2", "itemData" : { "abstract" : "Although approximately 85 million units of red blood cells (RBCs) are transfused annually worldwide, transfusion practices vary widely. The AABB (formerly, the American Association of Blood Banks) developed this guideline to provide clinical recommendations about hemoglobin concentration thresholds and other clinical variables that trigger RBC transfusions in hemodynamically stable adults and children.", "author" : [ { "dropping-particle" : "", "family" : "Carson", "given" : "Jeffrey L", "non-dropping-particle" : "", "parse-names" : false, "suffix" : "" } ], "container-title" : "Annals of Internal Medicine", "id" : "ITEM-2", "issue" : "1", "issued" : { "date-parts" : [ [ "2012" ] ] }, "page" : "49-58", "title" : "Red blood cell transfusion: a clinical practice guideline from the AABB", "type" : "article-journal", "volume" : "157" }, "uris" : [ "http://www.mendeley.com/documents/?uuid=1f2a47bc-9d7f-4b77-bdbd-6028e884fabb" ] } ], "mendeley" : { "previouslyFormattedCitation" : "&lt;sup&gt;8,15&lt;/sup&gt;"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8,15</w:t>
      </w:r>
      <w:r w:rsidRPr="00C169DB">
        <w:rPr>
          <w:rFonts w:ascii="TitilliumText25L" w:hAnsi="TitilliumText25L"/>
        </w:rPr>
        <w:fldChar w:fldCharType="end"/>
      </w:r>
      <w:r w:rsidRPr="00C169DB">
        <w:rPr>
          <w:rFonts w:ascii="TitilliumText25L" w:hAnsi="TitilliumText25L"/>
        </w:rPr>
        <w:t xml:space="preserve"> </w:t>
      </w:r>
    </w:p>
    <w:p w:rsidR="00C82717" w:rsidRPr="00C169DB" w:rsidRDefault="00C82717" w:rsidP="00C82717">
      <w:pPr>
        <w:pStyle w:val="ListParagraph"/>
        <w:spacing w:after="120"/>
        <w:ind w:left="0"/>
        <w:contextualSpacing w:val="0"/>
        <w:rPr>
          <w:rFonts w:ascii="TitilliumText25L" w:hAnsi="TitilliumText25L"/>
        </w:rPr>
      </w:pPr>
      <w:r w:rsidRPr="00C169DB">
        <w:rPr>
          <w:rFonts w:ascii="TitilliumText25L" w:hAnsi="TitilliumText25L"/>
        </w:rPr>
        <w:t xml:space="preserve">Historically, two unit red blood cell transfusions were </w:t>
      </w:r>
      <w:r w:rsidRPr="00C169DB">
        <w:rPr>
          <w:rFonts w:ascii="TitilliumText25L" w:hAnsi="TitilliumText25L"/>
          <w:lang w:val="en-GB"/>
        </w:rPr>
        <w:t>common practice as a single unit was not considered sufficient to correct anaemia</w:t>
      </w:r>
      <w:r w:rsidRPr="00C169DB">
        <w:rPr>
          <w:rFonts w:ascii="TitilliumText25L" w:hAnsi="TitilliumText25L"/>
        </w:rPr>
        <w:t>.</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"mendeley" : { "previouslyFormattedCitation" : "&lt;sup&gt;6,7&lt;/sup&gt;"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6,7</w:t>
      </w:r>
      <w:r w:rsidRPr="00C169DB">
        <w:rPr>
          <w:rFonts w:ascii="TitilliumText25L" w:hAnsi="TitilliumText25L"/>
        </w:rPr>
        <w:fldChar w:fldCharType="end"/>
      </w:r>
      <w:r w:rsidRPr="00C169DB">
        <w:rPr>
          <w:rFonts w:ascii="TitilliumText25L" w:hAnsi="TitilliumText25L"/>
        </w:rPr>
        <w:t xml:space="preserve">  Single unit transfusions currently represent only a small proportion of all transfusion.</w:t>
      </w:r>
    </w:p>
    <w:p w:rsidR="00C82717" w:rsidRPr="00C169DB" w:rsidRDefault="00C82717" w:rsidP="00C82717">
      <w:pPr>
        <w:spacing w:after="120"/>
        <w:rPr>
          <w:rFonts w:ascii="TitilliumText25L" w:eastAsia="Calibri" w:hAnsi="TitilliumText25L"/>
        </w:rPr>
      </w:pPr>
      <w:r w:rsidRPr="00C169DB">
        <w:rPr>
          <w:rFonts w:ascii="TitilliumText25L" w:eastAsia="Calibri" w:hAnsi="TitilliumText25L"/>
        </w:rPr>
        <w:t>Red blood cell transfusion also poses ongoing challenges in balancing supply and demand due to the increasing age of the population. Demand for blood will increase but the available donor pool will decrease.</w:t>
      </w:r>
    </w:p>
    <w:p w:rsidR="00C82717" w:rsidRPr="00C169DB" w:rsidRDefault="00C82717" w:rsidP="00C82717">
      <w:pPr>
        <w:spacing w:after="120"/>
        <w:rPr>
          <w:rFonts w:ascii="TitilliumText25L" w:hAnsi="TitilliumText25L"/>
        </w:rPr>
      </w:pPr>
      <w:r w:rsidRPr="00C169DB">
        <w:rPr>
          <w:rFonts w:ascii="TitilliumText25L" w:eastAsia="Calibri" w:hAnsi="TitilliumText25L"/>
        </w:rPr>
        <w:t>Although blood is extremely safe from the currently known infectious agents, the potential threat from as yet unknown, or re-emerging pathogens deserves cautious consideration.</w:t>
      </w:r>
      <w:r w:rsidRPr="00C169DB">
        <w:rPr>
          <w:rFonts w:ascii="TitilliumText25L" w:eastAsia="Calibri" w:hAnsi="TitilliumText25L"/>
        </w:rPr>
        <w:fldChar w:fldCharType="begin" w:fldLock="1"/>
      </w:r>
      <w:r w:rsidRPr="00C169DB">
        <w:rPr>
          <w:rFonts w:ascii="TitilliumText25L" w:eastAsia="Calibri" w:hAnsi="TitilliumText25L"/>
        </w:rPr>
        <w:instrText>ADDIN CSL_CITATION { "citationItems" : [ { "id" : "ITEM-1", "itemData" : { "DOI" : "10.1634/theoncologist.2011-S3-3", "abstract" : "The objective of this paper is to introduce clinicians and health care professionals to the concept of patient blood management (PBM) and to explain the difference between PBM and the concept of \"appropriate use\" of blood products. The five reasons why modern health systems need to shift from product-focused transfusion practice to PBM are also presented. These are: the aging population with a leveraged demand for blood products opposed to a shrinking donor base; the growing awareness that transfusion is a complex service involving many different cost centers within a hospital and representing a multiple of the blood product cost; the continuous effort to protect blood pools from known, new, or re-emerging pathogens while facing uncertainty over their potentially long silent carrier states; the emerging evidence that transfusion is an independent risk factor for adverse outcomes; and finally, a lack of evidence for benefit of transfusion for the vast majority of recipients.", "author" : [ { "dropping-particle" : "", "family" : "Hofmann", "given" : "Axel", "non-dropping-particle" : "", "parse-names" : false, "suffix" : "" }, { "dropping-particle" : "", "family" : "Farmer", "given" : "Shannon", "non-dropping-particle" : "", "parse-names" : false, "suffix" : "" }, { "dropping-particle" : "", "family" : "Shander", "given" : "Aryeh", "non-dropping-particle" : "", "parse-names" : false, "suffix" : "" } ], "container-title" : "The oncologist", "id" : "ITEM-1", "issued" : { "date-parts" : [ [ "2011" ] ] }, "page" : "3-11", "title" : "Five drivers shifting the paradigm from product-focused transfusion practice to patient blood management.", "type" : "article-journal", "volume" : "16 Suppl 3" }, "uris" : [ "http://www.mendeley.com/documents/?uuid=3a94e34c-9f7b-496c-af50-99a9cf529f48" ] } ], "mendeley" : { "previouslyFormattedCitation" : "&lt;sup&gt;16&lt;/sup&gt;" }, "properties" : { "noteIndex" : 0 }, "schema" : "https://github.com/citation-style-language/schema/raw/master/csl-citation.json" }</w:instrText>
      </w:r>
      <w:r w:rsidRPr="00C169DB">
        <w:rPr>
          <w:rFonts w:ascii="TitilliumText25L" w:eastAsia="Calibri" w:hAnsi="TitilliumText25L"/>
        </w:rPr>
        <w:fldChar w:fldCharType="separate"/>
      </w:r>
      <w:r w:rsidRPr="00C169DB">
        <w:rPr>
          <w:rFonts w:ascii="TitilliumText25L" w:eastAsia="Calibri" w:hAnsi="TitilliumText25L"/>
          <w:noProof/>
          <w:vertAlign w:val="superscript"/>
        </w:rPr>
        <w:t>16</w:t>
      </w:r>
      <w:r w:rsidRPr="00C169DB">
        <w:rPr>
          <w:rFonts w:ascii="TitilliumText25L" w:eastAsia="Calibri" w:hAnsi="TitilliumText25L"/>
        </w:rPr>
        <w:fldChar w:fldCharType="end"/>
      </w:r>
    </w:p>
    <w:p w:rsidR="00C82717" w:rsidRPr="00C169DB" w:rsidRDefault="00C82717" w:rsidP="00C82717">
      <w:pPr>
        <w:spacing w:after="0"/>
        <w:rPr>
          <w:rFonts w:ascii="TitilliumText25L" w:hAnsi="TitilliumText25L"/>
          <w:b/>
        </w:rPr>
      </w:pPr>
      <w:r w:rsidRPr="00C169DB">
        <w:rPr>
          <w:rFonts w:ascii="TitilliumText25L" w:hAnsi="TitilliumText25L"/>
          <w:b/>
        </w:rPr>
        <w:t xml:space="preserve">HOW: </w:t>
      </w:r>
    </w:p>
    <w:p w:rsidR="00C82717" w:rsidRPr="00C169DB" w:rsidRDefault="00C82717" w:rsidP="00C82717">
      <w:pPr>
        <w:spacing w:after="120"/>
        <w:rPr>
          <w:rFonts w:ascii="TitilliumText25L" w:hAnsi="TitilliumText25L"/>
        </w:rPr>
      </w:pPr>
      <w:r w:rsidRPr="00C169DB">
        <w:rPr>
          <w:rFonts w:ascii="TitilliumText25L" w:hAnsi="TitilliumText25L"/>
        </w:rPr>
        <w:t xml:space="preserve">These are the indications for red blood cell transfusion in </w:t>
      </w:r>
      <w:r w:rsidRPr="00C169DB">
        <w:rPr>
          <w:rFonts w:ascii="TitilliumText25L" w:hAnsi="TitilliumText25L"/>
          <w:b/>
        </w:rPr>
        <w:t>stable, normovolaemic adult</w:t>
      </w:r>
      <w:r w:rsidRPr="00C169DB">
        <w:rPr>
          <w:rFonts w:ascii="TitilliumText25L" w:hAnsi="TitilliumText25L"/>
        </w:rPr>
        <w:t xml:space="preserve"> patients, in an </w:t>
      </w:r>
      <w:r w:rsidRPr="00C169DB">
        <w:rPr>
          <w:rFonts w:ascii="TitilliumText25L" w:hAnsi="TitilliumText25L"/>
          <w:b/>
        </w:rPr>
        <w:t>inpatient</w:t>
      </w:r>
      <w:r w:rsidRPr="00C169DB">
        <w:rPr>
          <w:rFonts w:ascii="TitilliumText25L" w:hAnsi="TitilliumText25L"/>
        </w:rPr>
        <w:t xml:space="preserve"> setting, who </w:t>
      </w:r>
      <w:r w:rsidRPr="00C169DB">
        <w:rPr>
          <w:rFonts w:ascii="TitilliumText25L" w:hAnsi="TitilliumText25L"/>
          <w:b/>
        </w:rPr>
        <w:t>do not have clinically significant bleeding</w:t>
      </w:r>
      <w:r w:rsidRPr="00C169DB">
        <w:rPr>
          <w:rFonts w:ascii="TitilliumText25L" w:hAnsi="TitilliumText25L"/>
        </w:rPr>
        <w:t>:</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"&lt;sup&gt;2&lt;/sup&gt;"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2</w:t>
      </w:r>
      <w:r w:rsidRPr="00C169DB">
        <w:rPr>
          <w:rFonts w:ascii="TitilliumText25L" w:hAnsi="TitilliumText25L"/>
        </w:rPr>
        <w:fldChar w:fldCharType="end"/>
      </w:r>
    </w:p>
    <w:p w:rsidR="00C82717" w:rsidRPr="00C169DB" w:rsidRDefault="00C82717" w:rsidP="00C82717">
      <w:pPr>
        <w:numPr>
          <w:ilvl w:val="0"/>
          <w:numId w:val="5"/>
        </w:numPr>
        <w:spacing w:after="120"/>
        <w:rPr>
          <w:rFonts w:ascii="TitilliumText25L" w:hAnsi="TitilliumText25L"/>
        </w:rPr>
      </w:pPr>
      <w:r w:rsidRPr="00C169DB">
        <w:rPr>
          <w:rFonts w:ascii="TitilliumText25L" w:hAnsi="TitilliumText25L"/>
        </w:rPr>
        <w:t>Clinically assess the patient for symptoms of anaemia</w:t>
      </w:r>
      <w:r w:rsidRPr="00C169DB">
        <w:rPr>
          <w:rFonts w:ascii="TitilliumText25L" w:hAnsi="TitilliumText25L"/>
          <w:lang w:val="en-GB"/>
        </w:rPr>
        <w:t xml:space="preserve"> such as dyspnoea, tachycardia, chest pain, hypotension, increased heart rate and decreased oxygen saturation.</w:t>
      </w:r>
      <w:r w:rsidRPr="00C169DB">
        <w:rPr>
          <w:rFonts w:ascii="TitilliumText25L" w:hAnsi="TitilliumText25L"/>
          <w:lang w:val="en-GB"/>
        </w:rPr>
        <w:fldChar w:fldCharType="begin" w:fldLock="1"/>
      </w:r>
      <w:r w:rsidRPr="00C169DB">
        <w:rPr>
          <w:rFonts w:ascii="TitilliumText25L" w:hAnsi="TitilliumText25L"/>
          <w:lang w:val="en-GB"/>
        </w:rPr>
        <w:instrText>ADDIN CSL_CITATION { "citationItems" : [ { "id" : "ITEM-1", "itemData" : { "abstract" : "Although approximately 85 million units of red blood cells (RBCs) are transfused annually worldwide, transfusion practices vary widely. The AABB (formerly, the American Association of Blood Banks) developed this guideline to provide clinical recommendations about hemoglobin concentration thresholds and other clinical variables that trigger RBC transfusions in hemodynamically stable adults and children.", "author" : [ { "dropping-particle" : "", "family" : "Carson", "given" : "Jeffrey L", "non-dropping-particle" : "", "parse-names" : false, "suffix" : "" } ], "container-title" : "Annals of Internal Medicine", "id" : "ITEM-1", "issue" : "1", "issued" : { "date-parts" : [ [ "2012" ] ] }, "page" : "49-58", "title" : "Red blood cell transfusion: a clinical practice guideline from the AABB", "type" : "article-journal", "volume" : "157" }, "uris" : [ "http://www.mendeley.com/documents/?uuid=1f2a47bc-9d7f-4b77-bdbd-6028e884fabb" ] }, { "id" : "ITEM-2", "itemData" : { "author" : [ { "dropping-particle" : "", "family" : "Rossi", "given" : "E C", "non-dropping-particle" : "", "parse-names" : false, "suffix" : "" } ], "container-title" : "Principles of Transfusion Medicine, Second edition", "id" : "ITEM-2", "issued" : { "date-parts" : [ [ "1996" ] ] }, "title" : "Anaemia and Red cell Transfusion", "type" : "article-journal", "volume" : "1" }, "uris" : [ "http://www.mendeley.com/documents/?uuid=2e29d606-dc65-44eb-b3ba-44a2477d82c7" ] }, { "id" : "ITEM-3", "itemData" : { "author" : [ { "dropping-particle" : "", "family" : "Shander", "given" : "A", "non-dropping-particle" : "", "parse-names" : false, "suffix" : "" } ], "container-title" : "Review Blood Transfus", "id" : "ITEM-3", "issued" : { "date-parts" : [ [ "2012" ] ] }, "title" : "A new perspective on best transfusion practices", "type" : "article-journal", "volume" : "1" }, "uris" : [ "http://www.mendeley.com/documents/?uuid=6c8b828f-556c-41d9-b293-6f1ed9a0ad28" ] } ], "mendeley" : { "previouslyFormattedCitation" : "&lt;sup&gt;8\u201310&lt;/sup&gt;" }, "properties" : { "noteIndex" : 0 }, "schema" : "https://github.com/citation-style-language/schema/raw/master/csl-citation.json" }</w:instrText>
      </w:r>
      <w:r w:rsidRPr="00C169DB">
        <w:rPr>
          <w:rFonts w:ascii="TitilliumText25L" w:hAnsi="TitilliumText25L"/>
          <w:lang w:val="en-GB"/>
        </w:rPr>
        <w:fldChar w:fldCharType="separate"/>
      </w:r>
      <w:r w:rsidRPr="00C169DB">
        <w:rPr>
          <w:rFonts w:ascii="TitilliumText25L" w:hAnsi="TitilliumText25L"/>
          <w:noProof/>
          <w:vertAlign w:val="superscript"/>
          <w:lang w:val="en-GB"/>
        </w:rPr>
        <w:t>8–10</w:t>
      </w:r>
      <w:r w:rsidRPr="00C169DB">
        <w:rPr>
          <w:rFonts w:ascii="TitilliumText25L" w:hAnsi="TitilliumText25L"/>
          <w:lang w:val="en-GB"/>
        </w:rPr>
        <w:fldChar w:fldCharType="end"/>
      </w:r>
      <w:r w:rsidRPr="00C169DB">
        <w:rPr>
          <w:rFonts w:ascii="TitilliumText25L" w:hAnsi="TitilliumText25L"/>
        </w:rPr>
        <w:t xml:space="preserve"> </w:t>
      </w:r>
    </w:p>
    <w:p w:rsidR="00C82717" w:rsidRPr="00C169DB" w:rsidRDefault="00C82717" w:rsidP="00C82717">
      <w:pPr>
        <w:pStyle w:val="ListParagraph"/>
        <w:numPr>
          <w:ilvl w:val="0"/>
          <w:numId w:val="5"/>
        </w:numPr>
        <w:spacing w:after="120"/>
        <w:contextualSpacing w:val="0"/>
        <w:rPr>
          <w:rFonts w:ascii="TitilliumText25L" w:hAnsi="TitilliumText25L"/>
        </w:rPr>
      </w:pPr>
      <w:r w:rsidRPr="00C169DB">
        <w:rPr>
          <w:rFonts w:ascii="TitilliumText25L" w:hAnsi="TitilliumText25L"/>
        </w:rPr>
        <w:t>“Red blood cell transfusion should not be dictated by haemoglobin concentration alone, but should also be based on assessment of the patient’s clinical status.”</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4,5</w:t>
      </w:r>
      <w:r w:rsidRPr="00C169DB">
        <w:rPr>
          <w:rFonts w:ascii="TitilliumText25L" w:hAnsi="TitilliumText25L"/>
        </w:rPr>
        <w:fldChar w:fldCharType="end"/>
      </w:r>
      <w:r w:rsidRPr="00C169DB">
        <w:rPr>
          <w:rFonts w:ascii="TitilliumText25L" w:hAnsi="TitilliumText25L"/>
          <w:lang w:val="en-GB"/>
        </w:rPr>
        <w:t xml:space="preserve"> For haemoglobin thresholds refer to the national Patient Blood Management Guidelines, Module 3 – Medical practice point 3 (PP3) and Module 4 – Critical Care practice point 4 (PP4).</w:t>
      </w:r>
    </w:p>
    <w:p w:rsidR="00441199" w:rsidRPr="00C169DB" w:rsidRDefault="00C82717" w:rsidP="00C82717">
      <w:pPr>
        <w:numPr>
          <w:ilvl w:val="0"/>
          <w:numId w:val="5"/>
        </w:numPr>
        <w:rPr>
          <w:rFonts w:ascii="TitilliumText25L" w:hAnsi="TitilliumText25L"/>
        </w:rPr>
      </w:pPr>
      <w:r w:rsidRPr="00C169DB">
        <w:rPr>
          <w:rFonts w:ascii="TitilliumText25L" w:hAnsi="TitilliumText25L"/>
        </w:rPr>
        <w:t>“Where indicated, transfusion of a single unit of RBC, followed by clinical reassessment to determine the need for further transfusion, is appropriate.”</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"&lt;sup&gt;4,5&lt;/sup&gt;"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4,5</w:t>
      </w:r>
      <w:r w:rsidRPr="00C169DB">
        <w:rPr>
          <w:rFonts w:ascii="TitilliumText25L" w:hAnsi="TitilliumText25L"/>
        </w:rPr>
        <w:fldChar w:fldCharType="end"/>
      </w:r>
      <w:r w:rsidRPr="00C169DB">
        <w:rPr>
          <w:rFonts w:ascii="TitilliumText25L" w:hAnsi="TitilliumText25L"/>
        </w:rPr>
        <w:t xml:space="preserve"> </w:t>
      </w:r>
    </w:p>
    <w:p w:rsidR="00C82717" w:rsidRPr="00C169DB" w:rsidRDefault="00441199" w:rsidP="00441199">
      <w:pPr>
        <w:rPr>
          <w:rFonts w:ascii="TitilliumText25L" w:hAnsi="TitilliumText25L"/>
        </w:rPr>
      </w:pPr>
      <w:r w:rsidRPr="00C169DB">
        <w:rPr>
          <w:rFonts w:ascii="TitilliumText25L" w:hAnsi="TitilliumText25L"/>
        </w:rPr>
        <w:br w:type="page"/>
      </w:r>
    </w:p>
    <w:p w:rsidR="00C82717" w:rsidRPr="00C169DB" w:rsidRDefault="00C82717" w:rsidP="00441199">
      <w:pPr>
        <w:rPr>
          <w:rFonts w:ascii="TitilliumText25L" w:hAnsi="TitilliumText25L" w:cs="Arial"/>
          <w:sz w:val="20"/>
          <w:szCs w:val="20"/>
        </w:rPr>
      </w:pPr>
      <w:r w:rsidRPr="00C169DB">
        <w:rPr>
          <w:rFonts w:ascii="TitilliumText25L" w:hAnsi="TitilliumText25L"/>
        </w:rPr>
        <w:t xml:space="preserve">For patients who are </w:t>
      </w:r>
      <w:r w:rsidRPr="00C169DB">
        <w:rPr>
          <w:rFonts w:ascii="TitilliumText25L" w:hAnsi="TitilliumText25L"/>
          <w:b/>
        </w:rPr>
        <w:t>chronically transfused</w:t>
      </w:r>
      <w:r w:rsidRPr="00C169DB">
        <w:rPr>
          <w:rFonts w:ascii="TitilliumText25L" w:hAnsi="TitilliumText25L"/>
        </w:rPr>
        <w:t xml:space="preserve"> please refer to the relevant practice points in the Patient Blood Management Guidelines: Module 3 – Medical:</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"&lt;sup&gt;4&lt;/sup&gt;"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4</w:t>
      </w:r>
      <w:r w:rsidRPr="00C169DB">
        <w:rPr>
          <w:rFonts w:ascii="TitilliumText25L" w:hAnsi="TitilliumText25L"/>
        </w:rPr>
        <w:fldChar w:fldCharType="end"/>
      </w:r>
      <w:r w:rsidRPr="00C169DB">
        <w:rPr>
          <w:rFonts w:ascii="TitilliumText25L" w:hAnsi="TitilliumText25L"/>
        </w:rPr>
        <w:t xml:space="preserve"> </w:t>
      </w:r>
      <w:r w:rsidR="00441199" w:rsidRPr="00C169DB">
        <w:rPr>
          <w:rFonts w:ascii="TitilliumText25L" w:hAnsi="TitilliumText25L"/>
        </w:rPr>
        <w:t xml:space="preserve"> </w:t>
      </w:r>
      <w:r w:rsidRPr="00C169DB">
        <w:rPr>
          <w:rFonts w:ascii="TitilliumText25L" w:hAnsi="TitilliumText25L"/>
        </w:rPr>
        <w:t xml:space="preserve">“In patients with myelodysplasia who are regularly and chronically transfused, there is </w:t>
      </w:r>
      <w:r w:rsidRPr="00C169DB">
        <w:rPr>
          <w:rFonts w:ascii="TitilliumText25L" w:hAnsi="TitilliumText25L"/>
          <w:b/>
        </w:rPr>
        <w:t>no evidence to guide particular Hb thresholds</w:t>
      </w:r>
      <w:r w:rsidRPr="00C169DB">
        <w:rPr>
          <w:rFonts w:ascii="TitilliumText25L" w:hAnsi="TitilliumText25L"/>
        </w:rPr>
        <w:t xml:space="preserve">. Decisions around appropriate triggers and frequency of transfusion need to be </w:t>
      </w:r>
      <w:r w:rsidRPr="00C169DB">
        <w:rPr>
          <w:rFonts w:ascii="TitilliumText25L" w:hAnsi="TitilliumText25L"/>
          <w:b/>
        </w:rPr>
        <w:t>individualised</w:t>
      </w:r>
      <w:r w:rsidRPr="00C169DB">
        <w:rPr>
          <w:rFonts w:ascii="TitilliumText25L" w:hAnsi="TitilliumText25L"/>
        </w:rPr>
        <w:t>, taking into account anaemia-related symptoms, functional or performance status, and the patient’s response to previous transfusions.”</w:t>
      </w:r>
    </w:p>
    <w:p w:rsidR="00056C53" w:rsidRPr="00C169DB" w:rsidRDefault="00C82717" w:rsidP="00441199">
      <w:pPr>
        <w:rPr>
          <w:rFonts w:ascii="TitilliumText25L" w:hAnsi="TitilliumText25L"/>
        </w:rPr>
      </w:pPr>
      <w:r w:rsidRPr="00C169DB">
        <w:rPr>
          <w:rFonts w:ascii="TitilliumText25L" w:hAnsi="TitilliumText25L"/>
        </w:rPr>
        <w:t>Red blood cell transfusion is inappropriate therapy for iron deficiency anaemia (IDA) unless an immediate increase in oxygen delivery is required, such as when the patient is experiencing end-organ compromise (for example, angina pectoris or cardiac failure), or IDA is complicated by serious, acute ongoing bleeding. Oral iron therapy, in appropriate doses and for a sufficient duration, is an effective first-line strategy for most patients. In selected patients for whom intravenous (IV) iron therapy is indicated, current formulations can be safely administered in outpatient treatment centres and are relatively inexpensive.</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"abstract" : "Red cell transfusion is inappropriate therapy for Iron Deficiency anaemia unless an immediate increase in oxygen delivery is required, such as when the patient is experiencing end-organ compromise (eg, angina pectoris or cardiac failure), or IDA is complicated by serious, acute ongoing bleeding. Oral iron therapy, in appropriate doses and for a sufficient duration, is an effective first-line strategy for most patients. In selected patients for whom intravenous (IV) iron therapy is indicated, current formulations can be safely administered in outpatient treatment centres and are relatively inexpensive.", "author" : [ { "dropping-particle" : "", "family" : "Pasricha", "given" : "Sant-Rayn", "non-dropping-particle" : "", "parse-names" : false, "suffix" : "" }, { "dropping-particle" : "", "family" : "Flecknoe-Brown", "given" : "Stephen", "non-dropping-particle" : "", "parse-names" : false, "suffix" : "" }, { "dropping-particle" : "", "family" : "Allen", "given" : "Katrina", "non-dropping-particle" : "", "parse-names" : false, "suffix" : "" }, { "dropping-particle" : "", "family" : "Gibson", "given" : "Peter", "non-dropping-particle" : "", "parse-names" : false, "suffix" : "" }, { "dropping-particle" : "", "family" : "McMahon", "given" : "Lawrence", "non-dropping-particle" : "", "parse-names" : false, "suffix" : "" }, { "dropping-particle" : "", "family" : "Olynyk", "given" : "John", "non-dropping-particle" : "", "parse-names" : false, "suffix" : "" }, { "dropping-particle" : "", "family" : "Roger", "given" : "Somon", "non-dropping-particle" : "", "parse-names" : false, "suffix" : "" }, { "dropping-particle" : "", "family" : "Savoia", "given" : "Helen", "non-dropping-particle" : "", "parse-names" : false, "suffix" : "" }, { "dropping-particle" : "", "family" : "Tampi", "given" : "Ramdas", "non-dropping-particle" : "", "parse-names" : false, "suffix" : "" }, { "dropping-particle" : "", "family" : "Thomson", "given" : "Amanda", "non-dropping-particle" : "", "parse-names" : false, "suffix" : "" }, { "dropping-particle" : "", "family" : "Wood", "given" : "Erics", "non-dropping-particle" : "", "parse-names" : false, "suffix" : "" }, { "dropping-particle" : "", "family" : "Robinson", "given" : "Kathryn", "non-dropping-particle" : "", "parse-names" : false, "suffix" : "" } ], "container-title" : "Med J Aust", "id" : "ITEM-1", "issue" : "9", "issued" : { "date-parts" : [ [ "2010" ] ] }, "page" : "525-532", "title" : "Diagnosis and management of iron deficiency anaemia: a clinical update", "type" : "article-journal", "volume" : "198" }, "uris" : [ "http://www.mendeley.com/documents/?uuid=38b52922-e84f-40be-a09c-6a4645479b3c" ] } ], "mendeley" : { "previouslyFormattedCitation" : "&lt;sup&gt;17&lt;/sup&gt;"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17</w:t>
      </w:r>
      <w:r w:rsidRPr="00C169DB">
        <w:rPr>
          <w:rFonts w:ascii="TitilliumText25L" w:hAnsi="TitilliumText25L"/>
        </w:rPr>
        <w:fldChar w:fldCharType="end"/>
      </w:r>
    </w:p>
    <w:p w:rsidR="00E76F34" w:rsidRPr="00C169DB" w:rsidRDefault="00C82717" w:rsidP="00441199">
      <w:pPr>
        <w:rPr>
          <w:rFonts w:ascii="TitilliumText25L" w:hAnsi="TitilliumText25L"/>
        </w:rPr>
      </w:pPr>
      <w:r w:rsidRPr="00C169DB">
        <w:rPr>
          <w:rFonts w:ascii="TitilliumText25L" w:hAnsi="TitilliumText25L"/>
        </w:rPr>
        <w:t>The national Patient Blood Management Guidelines: Module 3 – Medical</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"mendeley" : { "previouslyFormattedCitation" : "&lt;sup&gt;4&lt;/sup&gt;"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4</w:t>
      </w:r>
      <w:r w:rsidRPr="00C169DB">
        <w:rPr>
          <w:rFonts w:ascii="TitilliumText25L" w:hAnsi="TitilliumText25L"/>
        </w:rPr>
        <w:fldChar w:fldCharType="end"/>
      </w:r>
      <w:r w:rsidRPr="00C169DB">
        <w:rPr>
          <w:rFonts w:ascii="TitilliumText25L" w:hAnsi="TitilliumText25L"/>
        </w:rPr>
        <w:t xml:space="preserve"> state “In patients with iron deficiency anaemia, iron therapy is required to replenish iron stores regardless of whether a transfusion is indicated.”</w:t>
      </w:r>
      <w:r w:rsidR="00B608C7" w:rsidRPr="00C169DB">
        <w:rPr>
          <w:rFonts w:ascii="TitilliumText25L" w:hAnsi="TitilliumText25L" w:cs="Arial"/>
          <w:b/>
          <w:sz w:val="20"/>
          <w:szCs w:val="20"/>
        </w:rPr>
        <w:br w:type="page"/>
      </w:r>
    </w:p>
    <w:p w:rsidR="00B608C7" w:rsidRPr="00C169DB" w:rsidRDefault="00B608C7" w:rsidP="00B608C7">
      <w:pPr>
        <w:spacing w:before="120" w:after="120"/>
        <w:rPr>
          <w:rFonts w:ascii="TitilliumText25L" w:hAnsi="TitilliumText25L"/>
          <w:b/>
          <w:color w:val="C60C30"/>
          <w:sz w:val="32"/>
          <w:szCs w:val="32"/>
        </w:rPr>
      </w:pPr>
      <w:r w:rsidRPr="00C169DB">
        <w:rPr>
          <w:rFonts w:ascii="TitilliumText25L" w:hAnsi="TitilliumText25L"/>
          <w:b/>
          <w:color w:val="C60C30"/>
          <w:sz w:val="32"/>
          <w:szCs w:val="32"/>
        </w:rPr>
        <w:t>IMPLEMENTATION PLAN</w:t>
      </w:r>
    </w:p>
    <w:p w:rsidR="00C82717" w:rsidRPr="00C169DB" w:rsidRDefault="00C82717" w:rsidP="00C82717">
      <w:pPr>
        <w:spacing w:after="0"/>
        <w:rPr>
          <w:rFonts w:ascii="TitilliumText25L" w:eastAsia="Calibri" w:hAnsi="TitilliumText25L"/>
          <w:vertAlign w:val="superscript"/>
        </w:rPr>
      </w:pPr>
      <w:r w:rsidRPr="00C169DB">
        <w:rPr>
          <w:rFonts w:ascii="TitilliumText25L" w:eastAsia="Calibri" w:hAnsi="TitilliumText25L"/>
        </w:rPr>
        <w:t>The following stepped approach may assist with the implementation of this guideline.</w:t>
      </w:r>
      <w:r w:rsidRPr="00C169DB">
        <w:rPr>
          <w:rFonts w:ascii="TitilliumText25L" w:eastAsia="Calibri" w:hAnsi="TitilliumText25L"/>
        </w:rPr>
        <w:fldChar w:fldCharType="begin" w:fldLock="1"/>
      </w:r>
      <w:r w:rsidRPr="00C169DB">
        <w:rPr>
          <w:rFonts w:ascii="TitilliumText25L" w:eastAsia="Calibri" w:hAnsi="TitilliumText25L"/>
        </w:rPr>
        <w:instrText>ADDIN CSL_CITATION { "citationItems" : [ { "id" : "ITEM-1", "itemData" : { "author" : [ { "dropping-particle" : "", "family" : "Western Australia Government", "given" : "", "non-dropping-particle" : "", "parse-names" : false, "suffix" : "" } ], "id" : "ITEM-1", "issued" : { "date-parts" : [ [ "2012" ] ] }, "title" : "Single Unit Rule: A Quick Start Guide to Transfusion Reduction", "type" : "article-journal" }, "uris" : [ "http://www.mendeley.com/documents/?uuid=248e6614-4e99-4662-8633-f3534d49d192" ] } ], "mendeley" : { "previouslyFormattedCitation" : "&lt;sup&gt;18&lt;/sup&gt;" }, "properties" : { "noteIndex" : 0 }, "schema" : "https://github.com/citation-style-language/schema/raw/master/csl-citation.json" }</w:instrText>
      </w:r>
      <w:r w:rsidRPr="00C169DB">
        <w:rPr>
          <w:rFonts w:ascii="TitilliumText25L" w:eastAsia="Calibri" w:hAnsi="TitilliumText25L"/>
        </w:rPr>
        <w:fldChar w:fldCharType="separate"/>
      </w:r>
      <w:r w:rsidRPr="00C169DB">
        <w:rPr>
          <w:rFonts w:ascii="TitilliumText25L" w:eastAsia="Calibri" w:hAnsi="TitilliumText25L"/>
          <w:noProof/>
          <w:vertAlign w:val="superscript"/>
        </w:rPr>
        <w:t>18</w:t>
      </w:r>
      <w:r w:rsidRPr="00C169DB">
        <w:rPr>
          <w:rFonts w:ascii="TitilliumText25L" w:eastAsia="Calibri" w:hAnsi="TitilliumText25L"/>
        </w:rPr>
        <w:fldChar w:fldCharType="end"/>
      </w:r>
    </w:p>
    <w:p w:rsidR="00C82717" w:rsidRPr="00C169DB" w:rsidRDefault="00C82717" w:rsidP="00C82717">
      <w:pPr>
        <w:numPr>
          <w:ilvl w:val="0"/>
          <w:numId w:val="11"/>
        </w:numPr>
        <w:spacing w:after="0"/>
        <w:rPr>
          <w:rFonts w:ascii="TitilliumText25L" w:eastAsia="Calibri" w:hAnsi="TitilliumText25L"/>
          <w:b/>
        </w:rPr>
      </w:pPr>
      <w:r w:rsidRPr="00C169DB">
        <w:rPr>
          <w:rFonts w:ascii="TitilliumText25L" w:eastAsia="Calibri" w:hAnsi="TitilliumText25L"/>
          <w:b/>
        </w:rPr>
        <w:t xml:space="preserve">Gain approval or endorsement of the guideline from the following: </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Transfusion Governance Committee / Patient Blood Management Committee</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Executive and Quality managers</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 xml:space="preserve">Relevant clinicians </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Transfusion medicine staff</w:t>
      </w:r>
    </w:p>
    <w:p w:rsidR="00C82717" w:rsidRPr="00C169DB" w:rsidRDefault="00C82717" w:rsidP="00C82717">
      <w:pPr>
        <w:numPr>
          <w:ilvl w:val="0"/>
          <w:numId w:val="11"/>
        </w:numPr>
        <w:spacing w:after="0"/>
        <w:rPr>
          <w:rFonts w:ascii="TitilliumText25L" w:eastAsia="Calibri" w:hAnsi="TitilliumText25L"/>
          <w:b/>
        </w:rPr>
      </w:pPr>
      <w:r w:rsidRPr="00C169DB">
        <w:rPr>
          <w:rFonts w:ascii="TitilliumText25L" w:eastAsia="Calibri" w:hAnsi="TitilliumText25L"/>
          <w:b/>
        </w:rPr>
        <w:t>Identify key staff / team responsible for implementing the guideline</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Identify key staff</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Document the roles and responsibilities of the staff</w:t>
      </w:r>
    </w:p>
    <w:p w:rsidR="00C82717" w:rsidRPr="00C169DB" w:rsidRDefault="00C82717" w:rsidP="00C82717">
      <w:pPr>
        <w:numPr>
          <w:ilvl w:val="0"/>
          <w:numId w:val="11"/>
        </w:numPr>
        <w:spacing w:after="0"/>
        <w:rPr>
          <w:rFonts w:ascii="TitilliumText25L" w:eastAsia="Calibri" w:hAnsi="TitilliumText25L"/>
          <w:b/>
        </w:rPr>
      </w:pPr>
      <w:r w:rsidRPr="00C169DB">
        <w:rPr>
          <w:rFonts w:ascii="TitilliumText25L" w:eastAsia="Calibri" w:hAnsi="TitilliumText25L"/>
          <w:b/>
        </w:rPr>
        <w:t>Provide education</w:t>
      </w:r>
    </w:p>
    <w:p w:rsidR="00C82717" w:rsidRPr="00C169DB" w:rsidRDefault="00C82717" w:rsidP="00C82717">
      <w:pPr>
        <w:numPr>
          <w:ilvl w:val="1"/>
          <w:numId w:val="12"/>
        </w:numPr>
        <w:spacing w:after="0"/>
        <w:rPr>
          <w:rFonts w:ascii="TitilliumText25L" w:hAnsi="TitilliumText25L"/>
        </w:rPr>
      </w:pPr>
      <w:r w:rsidRPr="00C169DB">
        <w:rPr>
          <w:rFonts w:ascii="TitilliumText25L" w:hAnsi="TitilliumText25L"/>
        </w:rPr>
        <w:t>Individual medical specialities</w:t>
      </w:r>
    </w:p>
    <w:p w:rsidR="00C82717" w:rsidRPr="00C169DB" w:rsidRDefault="00C82717" w:rsidP="00C82717">
      <w:pPr>
        <w:numPr>
          <w:ilvl w:val="1"/>
          <w:numId w:val="12"/>
        </w:numPr>
        <w:spacing w:after="0"/>
        <w:rPr>
          <w:rFonts w:ascii="TitilliumText25L" w:hAnsi="TitilliumText25L"/>
        </w:rPr>
      </w:pPr>
      <w:r w:rsidRPr="00C169DB">
        <w:rPr>
          <w:rFonts w:ascii="TitilliumText25L" w:hAnsi="TitilliumText25L"/>
        </w:rPr>
        <w:t>All staff, including: medical; nursing; transfusion medicine and wards areas that may or may not use blood</w:t>
      </w:r>
    </w:p>
    <w:p w:rsidR="00C82717" w:rsidRPr="00C169DB" w:rsidRDefault="00C82717" w:rsidP="00C82717">
      <w:pPr>
        <w:numPr>
          <w:ilvl w:val="1"/>
          <w:numId w:val="12"/>
        </w:numPr>
        <w:spacing w:after="0"/>
        <w:rPr>
          <w:rFonts w:ascii="TitilliumText25L" w:hAnsi="TitilliumText25L"/>
        </w:rPr>
      </w:pPr>
      <w:r w:rsidRPr="00C169DB">
        <w:rPr>
          <w:rFonts w:ascii="TitilliumText25L" w:hAnsi="TitilliumText25L"/>
        </w:rPr>
        <w:t>Consumer education</w:t>
      </w:r>
    </w:p>
    <w:p w:rsidR="00C82717" w:rsidRPr="00C169DB" w:rsidRDefault="00C82717" w:rsidP="00C82717">
      <w:pPr>
        <w:numPr>
          <w:ilvl w:val="1"/>
          <w:numId w:val="12"/>
        </w:numPr>
        <w:spacing w:after="0"/>
        <w:rPr>
          <w:rFonts w:ascii="TitilliumText25L" w:hAnsi="TitilliumText25L"/>
        </w:rPr>
      </w:pPr>
      <w:r w:rsidRPr="00C169DB">
        <w:rPr>
          <w:rFonts w:ascii="TitilliumText25L" w:hAnsi="TitilliumText25L"/>
        </w:rPr>
        <w:t>Education of new staff at orientation</w:t>
      </w:r>
    </w:p>
    <w:p w:rsidR="00C82717" w:rsidRPr="00C169DB" w:rsidRDefault="00C82717" w:rsidP="00C82717">
      <w:pPr>
        <w:numPr>
          <w:ilvl w:val="0"/>
          <w:numId w:val="11"/>
        </w:numPr>
        <w:spacing w:after="0"/>
        <w:rPr>
          <w:rFonts w:ascii="TitilliumText25L" w:eastAsia="Calibri" w:hAnsi="TitilliumText25L"/>
          <w:b/>
        </w:rPr>
      </w:pPr>
      <w:r w:rsidRPr="00C169DB">
        <w:rPr>
          <w:rFonts w:ascii="TitilliumText25L" w:eastAsia="Calibri" w:hAnsi="TitilliumText25L"/>
          <w:b/>
        </w:rPr>
        <w:t>Key messages</w:t>
      </w:r>
    </w:p>
    <w:p w:rsidR="00C82717" w:rsidRPr="00C169DB" w:rsidRDefault="00C82717" w:rsidP="00C82717">
      <w:pPr>
        <w:spacing w:after="0"/>
        <w:ind w:left="360"/>
        <w:rPr>
          <w:rFonts w:ascii="TitilliumText25L" w:eastAsia="Calibri" w:hAnsi="TitilliumText25L"/>
          <w:b/>
        </w:rPr>
      </w:pPr>
      <w:r w:rsidRPr="00C169DB">
        <w:rPr>
          <w:rFonts w:ascii="TitilliumText25L" w:eastAsia="Calibri" w:hAnsi="TitilliumText25L"/>
        </w:rPr>
        <w:t xml:space="preserve">Placement of key messages in the following areas: </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Hospital Intranets, websites</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 xml:space="preserve">Transfusion laboratory reports </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Internal hospital newsletters, magazines</w:t>
      </w:r>
    </w:p>
    <w:p w:rsidR="00C82717" w:rsidRPr="00C169DB" w:rsidRDefault="00C82717" w:rsidP="00C82717">
      <w:pPr>
        <w:numPr>
          <w:ilvl w:val="0"/>
          <w:numId w:val="13"/>
        </w:numPr>
        <w:spacing w:after="0"/>
        <w:rPr>
          <w:rFonts w:ascii="TitilliumText25L" w:hAnsi="TitilliumText25L"/>
        </w:rPr>
      </w:pPr>
      <w:r w:rsidRPr="00C169DB">
        <w:rPr>
          <w:rFonts w:ascii="TitilliumText25L" w:hAnsi="TitilliumText25L"/>
        </w:rPr>
        <w:t>Visible signage of key messages e.g. posters</w:t>
      </w:r>
    </w:p>
    <w:p w:rsidR="00C82717" w:rsidRPr="00C169DB" w:rsidRDefault="00C82717" w:rsidP="00C82717">
      <w:pPr>
        <w:numPr>
          <w:ilvl w:val="0"/>
          <w:numId w:val="11"/>
        </w:numPr>
        <w:spacing w:after="0"/>
        <w:rPr>
          <w:rFonts w:ascii="TitilliumText25L" w:eastAsia="Calibri" w:hAnsi="TitilliumText25L"/>
          <w:b/>
        </w:rPr>
      </w:pPr>
      <w:r w:rsidRPr="00C169DB">
        <w:rPr>
          <w:rFonts w:ascii="TitilliumText25L" w:eastAsia="Calibri" w:hAnsi="TitilliumText25L"/>
          <w:b/>
        </w:rPr>
        <w:t>Support staff to implement the guideline</w:t>
      </w:r>
    </w:p>
    <w:p w:rsidR="00C82717" w:rsidRPr="00C169DB" w:rsidRDefault="00C82717" w:rsidP="00C82717">
      <w:pPr>
        <w:numPr>
          <w:ilvl w:val="1"/>
          <w:numId w:val="14"/>
        </w:numPr>
        <w:spacing w:after="0"/>
        <w:contextualSpacing/>
        <w:rPr>
          <w:rFonts w:ascii="TitilliumText25L" w:eastAsia="Calibri" w:hAnsi="TitilliumText25L"/>
        </w:rPr>
      </w:pPr>
      <w:r w:rsidRPr="00C169DB">
        <w:rPr>
          <w:rFonts w:ascii="TitilliumText25L" w:eastAsia="Calibri" w:hAnsi="TitilliumText25L"/>
        </w:rPr>
        <w:t xml:space="preserve">The Single Unit Transfusion Guideline should be available to all staff. </w:t>
      </w:r>
    </w:p>
    <w:p w:rsidR="00C82717" w:rsidRPr="00C169DB" w:rsidRDefault="00C82717" w:rsidP="00C82717">
      <w:pPr>
        <w:numPr>
          <w:ilvl w:val="1"/>
          <w:numId w:val="14"/>
        </w:numPr>
        <w:spacing w:after="0"/>
        <w:contextualSpacing/>
        <w:rPr>
          <w:rFonts w:ascii="TitilliumText25L" w:eastAsia="Calibri" w:hAnsi="TitilliumText25L"/>
        </w:rPr>
      </w:pPr>
      <w:r w:rsidRPr="00C169DB">
        <w:rPr>
          <w:rFonts w:ascii="TitilliumText25L" w:eastAsia="Calibri" w:hAnsi="TitilliumText25L"/>
        </w:rPr>
        <w:t xml:space="preserve">Provide prompts for staff to determine the reason for transfusion </w:t>
      </w:r>
      <w:r w:rsidR="00441199" w:rsidRPr="00C169DB">
        <w:rPr>
          <w:rFonts w:ascii="TitilliumText25L" w:eastAsia="Calibri" w:hAnsi="TitilliumText25L"/>
        </w:rPr>
        <w:t>e.g. questions</w:t>
      </w:r>
      <w:r w:rsidRPr="00C169DB">
        <w:rPr>
          <w:rFonts w:ascii="TitilliumText25L" w:eastAsia="Calibri" w:hAnsi="TitilliumText25L"/>
        </w:rPr>
        <w:t xml:space="preserve"> to ask such as “Is the patient actively bleeding? Has the patient been reassessed since last transfusion? Is the patient still symptomatic?</w:t>
      </w:r>
    </w:p>
    <w:p w:rsidR="00C82717" w:rsidRPr="00C169DB" w:rsidRDefault="00C82717" w:rsidP="00C82717">
      <w:pPr>
        <w:numPr>
          <w:ilvl w:val="1"/>
          <w:numId w:val="14"/>
        </w:numPr>
        <w:spacing w:after="0"/>
        <w:contextualSpacing/>
        <w:rPr>
          <w:rFonts w:ascii="TitilliumText25L" w:eastAsia="Calibri" w:hAnsi="TitilliumText25L"/>
        </w:rPr>
      </w:pPr>
      <w:r w:rsidRPr="00C169DB">
        <w:rPr>
          <w:rFonts w:ascii="TitilliumText25L" w:eastAsia="Calibri" w:hAnsi="TitilliumText25L"/>
        </w:rPr>
        <w:t>If a patient does not fall within the criteria, staff should have access to further advice e.g. haematologist, identified medical staff or laboratory director for approval.</w:t>
      </w:r>
    </w:p>
    <w:p w:rsidR="00C82717" w:rsidRPr="00C169DB" w:rsidRDefault="00C82717" w:rsidP="00C82717">
      <w:pPr>
        <w:spacing w:after="0"/>
        <w:rPr>
          <w:rFonts w:ascii="TitilliumText25L" w:eastAsia="Calibri" w:hAnsi="TitilliumText25L"/>
        </w:rPr>
      </w:pPr>
      <w:r w:rsidRPr="00C169DB">
        <w:rPr>
          <w:rFonts w:ascii="TitilliumText25L" w:eastAsia="Calibri" w:hAnsi="TitilliumText25L"/>
          <w:b/>
        </w:rPr>
        <w:t>The following resources could assist with the implementation of the Single Unit Transfusion Guideline</w:t>
      </w:r>
      <w:r w:rsidRPr="00C169DB">
        <w:rPr>
          <w:rFonts w:ascii="TitilliumText25L" w:eastAsia="Calibri" w:hAnsi="TitilliumText25L"/>
        </w:rPr>
        <w:t xml:space="preserve">:  </w:t>
      </w:r>
    </w:p>
    <w:p w:rsidR="00C82717" w:rsidRPr="00C169DB" w:rsidRDefault="00C82717" w:rsidP="00C82717">
      <w:pPr>
        <w:numPr>
          <w:ilvl w:val="0"/>
          <w:numId w:val="2"/>
        </w:numPr>
        <w:spacing w:after="0"/>
        <w:ind w:left="1080"/>
        <w:contextualSpacing/>
        <w:rPr>
          <w:rFonts w:ascii="TitilliumText25L" w:eastAsia="Calibri" w:hAnsi="TitilliumText25L"/>
        </w:rPr>
      </w:pPr>
      <w:r w:rsidRPr="00C169DB">
        <w:rPr>
          <w:rFonts w:ascii="TitilliumText25L" w:eastAsia="Calibri" w:hAnsi="TitilliumText25L"/>
        </w:rPr>
        <w:t xml:space="preserve">Standard material to present to the hospital Transfusion Governance Committee / Patient Blood Management Committee seeking agreement to the guideline and details of how it would be implemented. </w:t>
      </w:r>
    </w:p>
    <w:p w:rsidR="00C82717" w:rsidRPr="00C169DB" w:rsidRDefault="00C82717" w:rsidP="00C82717">
      <w:pPr>
        <w:numPr>
          <w:ilvl w:val="0"/>
          <w:numId w:val="2"/>
        </w:numPr>
        <w:spacing w:after="0"/>
        <w:ind w:left="1080"/>
        <w:contextualSpacing/>
        <w:rPr>
          <w:rFonts w:ascii="TitilliumText25L" w:eastAsia="Calibri" w:hAnsi="TitilliumText25L"/>
        </w:rPr>
      </w:pPr>
      <w:r w:rsidRPr="00C169DB">
        <w:rPr>
          <w:rFonts w:ascii="TitilliumText25L" w:eastAsia="Calibri" w:hAnsi="TitilliumText25L"/>
        </w:rPr>
        <w:t>Education material tailored for:</w:t>
      </w:r>
    </w:p>
    <w:p w:rsidR="00C82717" w:rsidRPr="00C169DB" w:rsidRDefault="00C82717" w:rsidP="00C82717">
      <w:pPr>
        <w:numPr>
          <w:ilvl w:val="1"/>
          <w:numId w:val="5"/>
        </w:numPr>
        <w:spacing w:after="0"/>
        <w:rPr>
          <w:rFonts w:ascii="TitilliumText25L" w:hAnsi="TitilliumText25L"/>
        </w:rPr>
      </w:pPr>
      <w:r w:rsidRPr="00C169DB">
        <w:rPr>
          <w:rFonts w:ascii="TitilliumText25L" w:hAnsi="TitilliumText25L"/>
        </w:rPr>
        <w:t>Consumers: For example, iTransfuse Fact Sheet, all about blood, I need to know about Patient Blood Management and Single Unit Red Blood Cell Transfusion</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"URL" : "http://www.transfusion.com.au/sites/default/files/iTransfuse-FS-Vol4No9-Single-unit-red-blood-cell-transfusion-Published_0.pdf ", "author" : [ { "dropping-particle" : "", "family" : "Australian Red Cross blood Service", "given" : "", "non-dropping-particle" : "", "parse-names" : false, "suffix" : "" } ], "container-title" : "iTransfuse Fact Sheet", "id" : "ITEM-1", "issued" : { "date-parts" : [ [ "2012" ] ] }, "page" : "1", "title" : "iTransfuseFact Sheet, all about blood: Single Unit Red Blood Cell Transfusion", "type" : "webpage" }, "uris" : [ "http://www.mendeley.com/documents/?uuid=a9dca44f-b9e7-4a0f-9746-74cce2e401f7" ] }, { "id" : "ITEM-2", "itemData" : { "URL" : "http://www.transfusion.com.au/sites/default/files/iTransfuse-FS-Vol4No3-I-Need-To-Know-About-Patient-Blood-Management-Published.pdf", "author" : [ { "dropping-particle" : "", "family" : "Australian Red Cross Blood Service", "given" : "", "non-dropping-particle" : "", "parse-names" : false, "suffix" : "" } ], "container-title" : "iTransfuse Fact Sheet", "id" : "ITEM-2", "issued" : { "date-parts" : [ [ "2012" ] ] }, "page" : "1", "title" : "iTransfuse Fact Sheet, all about blood: I need to know about Patient Blood Management", "type" : "webpage" }, "uris" : [ "http://www.mendeley.com/documents/?uuid=ae5ddb84-5e13-4828-9a98-03c8d72be0fd" ] } ], "mendeley" : { "previouslyFormattedCitation" : "&lt;sup&gt;19,20&lt;/sup&gt;"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19,20</w:t>
      </w:r>
      <w:r w:rsidRPr="00C169DB">
        <w:rPr>
          <w:rFonts w:ascii="TitilliumText25L" w:hAnsi="TitilliumText25L"/>
        </w:rPr>
        <w:fldChar w:fldCharType="end"/>
      </w:r>
      <w:r w:rsidRPr="00C169DB">
        <w:rPr>
          <w:rFonts w:ascii="TitilliumText25L" w:hAnsi="TitilliumText25L"/>
        </w:rPr>
        <w:t xml:space="preserve"> </w:t>
      </w:r>
    </w:p>
    <w:p w:rsidR="00C82717" w:rsidRPr="00C169DB" w:rsidRDefault="00C82717" w:rsidP="00C82717">
      <w:pPr>
        <w:numPr>
          <w:ilvl w:val="1"/>
          <w:numId w:val="5"/>
        </w:numPr>
        <w:spacing w:after="0"/>
        <w:rPr>
          <w:rFonts w:ascii="TitilliumText25L" w:hAnsi="TitilliumText25L"/>
        </w:rPr>
      </w:pPr>
      <w:r w:rsidRPr="00C169DB">
        <w:rPr>
          <w:rFonts w:ascii="TitilliumText25L" w:hAnsi="TitilliumText25L"/>
        </w:rPr>
        <w:t xml:space="preserve">Staff: </w:t>
      </w:r>
    </w:p>
    <w:p w:rsidR="00C82717" w:rsidRPr="00C169DB" w:rsidRDefault="00C82717" w:rsidP="00C82717">
      <w:pPr>
        <w:numPr>
          <w:ilvl w:val="2"/>
          <w:numId w:val="5"/>
        </w:numPr>
        <w:spacing w:after="0"/>
        <w:rPr>
          <w:rFonts w:ascii="TitilliumText25L" w:hAnsi="TitilliumText25L"/>
        </w:rPr>
      </w:pPr>
      <w:r w:rsidRPr="00C169DB">
        <w:rPr>
          <w:rFonts w:ascii="TitilliumText25L" w:hAnsi="TitilliumText25L"/>
        </w:rPr>
        <w:t>PowerPoint presentation</w:t>
      </w:r>
    </w:p>
    <w:p w:rsidR="00C82717" w:rsidRPr="00C169DB" w:rsidRDefault="00C82717" w:rsidP="00C82717">
      <w:pPr>
        <w:numPr>
          <w:ilvl w:val="2"/>
          <w:numId w:val="5"/>
        </w:numPr>
        <w:spacing w:after="0"/>
        <w:rPr>
          <w:rFonts w:ascii="TitilliumText25L" w:hAnsi="TitilliumText25L"/>
        </w:rPr>
      </w:pPr>
      <w:r w:rsidRPr="00C169DB">
        <w:rPr>
          <w:rFonts w:ascii="TitilliumText25L" w:hAnsi="TitilliumText25L"/>
        </w:rPr>
        <w:t>Handout of information</w:t>
      </w:r>
    </w:p>
    <w:p w:rsidR="00C82717" w:rsidRPr="00C169DB" w:rsidRDefault="00C82717" w:rsidP="00C82717">
      <w:pPr>
        <w:numPr>
          <w:ilvl w:val="2"/>
          <w:numId w:val="5"/>
        </w:numPr>
        <w:spacing w:after="0"/>
        <w:rPr>
          <w:rFonts w:ascii="TitilliumText25L" w:hAnsi="TitilliumText25L"/>
        </w:rPr>
      </w:pPr>
      <w:r w:rsidRPr="00C169DB">
        <w:rPr>
          <w:rFonts w:ascii="TitilliumText25L" w:hAnsi="TitilliumText25L"/>
        </w:rPr>
        <w:t>Newsletter</w:t>
      </w:r>
    </w:p>
    <w:p w:rsidR="00C82717" w:rsidRPr="00C169DB" w:rsidRDefault="00C82717" w:rsidP="00C82717">
      <w:pPr>
        <w:numPr>
          <w:ilvl w:val="0"/>
          <w:numId w:val="2"/>
        </w:numPr>
        <w:spacing w:after="0"/>
        <w:ind w:left="1080"/>
        <w:contextualSpacing/>
        <w:rPr>
          <w:rFonts w:ascii="TitilliumText25L" w:eastAsia="Calibri" w:hAnsi="TitilliumText25L"/>
        </w:rPr>
      </w:pPr>
      <w:r w:rsidRPr="00C169DB">
        <w:rPr>
          <w:rFonts w:ascii="TitilliumText25L" w:eastAsia="Calibri" w:hAnsi="TitilliumText25L"/>
        </w:rPr>
        <w:t xml:space="preserve">Visible signage </w:t>
      </w:r>
    </w:p>
    <w:p w:rsidR="00C82717" w:rsidRPr="00C169DB" w:rsidRDefault="00C82717" w:rsidP="00C82717">
      <w:pPr>
        <w:spacing w:before="120" w:after="120"/>
        <w:rPr>
          <w:rFonts w:ascii="TitilliumText25L" w:hAnsi="TitilliumText25L"/>
          <w:b/>
          <w:sz w:val="32"/>
          <w:szCs w:val="32"/>
        </w:rPr>
      </w:pPr>
      <w:r w:rsidRPr="00C169DB">
        <w:rPr>
          <w:rFonts w:ascii="TitilliumText25L" w:eastAsia="Calibri" w:hAnsi="TitilliumText25L"/>
          <w:b/>
        </w:rPr>
        <w:t>Reminder: This guideline only applies to the stable normovolaemic adult patients, in an inpatient setting, who does not have clinically significant bleeding.</w:t>
      </w:r>
      <w:r w:rsidRPr="00C169DB">
        <w:rPr>
          <w:rFonts w:ascii="TitilliumText25L" w:eastAsia="Calibri" w:hAnsi="TitilliumText25L"/>
          <w:b/>
        </w:rPr>
        <w:fldChar w:fldCharType="begin" w:fldLock="1"/>
      </w:r>
      <w:r w:rsidRPr="00C169DB">
        <w:rPr>
          <w:rFonts w:ascii="TitilliumText25L" w:eastAsia="Calibri" w:hAnsi="TitilliumText25L"/>
          <w:b/>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"&lt;sup&gt;2&lt;/sup&gt;" }, "properties" : { "noteIndex" : 0 }, "schema" : "https://github.com/citation-style-language/schema/raw/master/csl-citation.json" }</w:instrText>
      </w:r>
      <w:r w:rsidRPr="00C169DB">
        <w:rPr>
          <w:rFonts w:ascii="TitilliumText25L" w:eastAsia="Calibri" w:hAnsi="TitilliumText25L"/>
          <w:b/>
        </w:rPr>
        <w:fldChar w:fldCharType="separate"/>
      </w:r>
      <w:r w:rsidRPr="00C169DB">
        <w:rPr>
          <w:rFonts w:ascii="TitilliumText25L" w:eastAsia="Calibri" w:hAnsi="TitilliumText25L"/>
          <w:noProof/>
          <w:vertAlign w:val="superscript"/>
        </w:rPr>
        <w:t>2</w:t>
      </w:r>
      <w:r w:rsidRPr="00C169DB">
        <w:rPr>
          <w:rFonts w:ascii="TitilliumText25L" w:eastAsia="Calibri" w:hAnsi="TitilliumText25L"/>
          <w:b/>
        </w:rPr>
        <w:fldChar w:fldCharType="end"/>
      </w:r>
    </w:p>
    <w:p w:rsidR="00B608C7" w:rsidRPr="00C169DB" w:rsidRDefault="00B608C7" w:rsidP="00B608C7">
      <w:pPr>
        <w:spacing w:before="120" w:after="120"/>
        <w:rPr>
          <w:rFonts w:ascii="TitilliumText25L" w:hAnsi="TitilliumText25L"/>
          <w:b/>
          <w:color w:val="C60C30"/>
          <w:sz w:val="32"/>
          <w:szCs w:val="32"/>
        </w:rPr>
      </w:pPr>
      <w:r w:rsidRPr="00C169DB">
        <w:rPr>
          <w:rFonts w:ascii="TitilliumText25L" w:hAnsi="TitilliumText25L"/>
          <w:b/>
          <w:color w:val="C60C30"/>
          <w:sz w:val="32"/>
          <w:szCs w:val="32"/>
        </w:rPr>
        <w:t>EVALUATION PLAN</w:t>
      </w:r>
    </w:p>
    <w:p w:rsidR="00C82717" w:rsidRPr="00C169DB" w:rsidRDefault="00C82717" w:rsidP="00C82717">
      <w:pPr>
        <w:spacing w:after="0"/>
        <w:rPr>
          <w:rFonts w:ascii="TitilliumText25L" w:eastAsia="Calibri" w:hAnsi="TitilliumText25L"/>
          <w:b/>
        </w:rPr>
      </w:pPr>
      <w:r w:rsidRPr="00C169DB">
        <w:rPr>
          <w:rFonts w:ascii="TitilliumText25L" w:eastAsia="Calibri" w:hAnsi="TitilliumText25L"/>
          <w:b/>
        </w:rPr>
        <w:t>Collect data and review data on a regular basis.</w:t>
      </w:r>
    </w:p>
    <w:p w:rsidR="00C82717" w:rsidRPr="00C169DB" w:rsidRDefault="00C82717" w:rsidP="00C82717">
      <w:pPr>
        <w:contextualSpacing/>
        <w:rPr>
          <w:rFonts w:ascii="TitilliumText25L" w:eastAsia="Calibri" w:hAnsi="TitilliumText25L"/>
        </w:rPr>
      </w:pPr>
      <w:r w:rsidRPr="00C169DB">
        <w:rPr>
          <w:rFonts w:ascii="TitilliumText25L" w:eastAsia="Calibri" w:hAnsi="TitilliumText25L"/>
        </w:rPr>
        <w:t>Some measures your hospital may be able to capture to determine the success of the guideline implementation are:</w:t>
      </w:r>
    </w:p>
    <w:p w:rsidR="00C82717" w:rsidRPr="00C169DB" w:rsidRDefault="00C82717" w:rsidP="00C82717">
      <w:pPr>
        <w:numPr>
          <w:ilvl w:val="0"/>
          <w:numId w:val="9"/>
        </w:numPr>
        <w:contextualSpacing/>
        <w:rPr>
          <w:rFonts w:ascii="TitilliumText25L" w:eastAsia="Calibri" w:hAnsi="TitilliumText25L"/>
        </w:rPr>
      </w:pPr>
      <w:r w:rsidRPr="00C169DB">
        <w:rPr>
          <w:rFonts w:ascii="TitilliumText25L" w:eastAsia="Calibri" w:hAnsi="TitilliumText25L"/>
        </w:rPr>
        <w:t>number units ordered per 24 hours from the Blood Service (BloodNet data)</w:t>
      </w:r>
    </w:p>
    <w:p w:rsidR="00C82717" w:rsidRPr="00C169DB" w:rsidRDefault="00C82717" w:rsidP="00C82717">
      <w:pPr>
        <w:numPr>
          <w:ilvl w:val="0"/>
          <w:numId w:val="9"/>
        </w:numPr>
        <w:contextualSpacing/>
        <w:rPr>
          <w:rFonts w:ascii="TitilliumText25L" w:eastAsia="Calibri" w:hAnsi="TitilliumText25L"/>
        </w:rPr>
      </w:pPr>
      <w:r w:rsidRPr="00C169DB">
        <w:rPr>
          <w:rFonts w:ascii="TitilliumText25L" w:eastAsia="Calibri" w:hAnsi="TitilliumText25L"/>
        </w:rPr>
        <w:t>number of units transfused per patient (you should see more “odd” numbers)</w:t>
      </w:r>
    </w:p>
    <w:p w:rsidR="00C82717" w:rsidRPr="00C169DB" w:rsidRDefault="00C82717" w:rsidP="00C82717">
      <w:pPr>
        <w:numPr>
          <w:ilvl w:val="0"/>
          <w:numId w:val="9"/>
        </w:numPr>
        <w:contextualSpacing/>
        <w:rPr>
          <w:rFonts w:ascii="TitilliumText25L" w:eastAsia="Calibri" w:hAnsi="TitilliumText25L"/>
        </w:rPr>
      </w:pPr>
      <w:r w:rsidRPr="00C169DB">
        <w:rPr>
          <w:rFonts w:ascii="TitilliumText25L" w:eastAsia="Calibri" w:hAnsi="TitilliumText25L"/>
        </w:rPr>
        <w:t>number of patients who received a single unit transfusion per day who are not bleeding or in an operating theatre.</w:t>
      </w:r>
    </w:p>
    <w:p w:rsidR="00C82717" w:rsidRPr="00C169DB" w:rsidRDefault="00C82717" w:rsidP="00C82717">
      <w:pPr>
        <w:contextualSpacing/>
        <w:rPr>
          <w:rFonts w:ascii="TitilliumText25L" w:eastAsia="Calibri" w:hAnsi="TitilliumText25L"/>
        </w:rPr>
      </w:pPr>
      <w:r w:rsidRPr="00C169DB">
        <w:rPr>
          <w:rFonts w:ascii="TitilliumText25L" w:eastAsia="Calibri" w:hAnsi="TitilliumText25L"/>
        </w:rPr>
        <w:t>Where possible, developing an “intelligent” computerised physician order entry (CPOE) system with decision support tools and guides to appropriate ordering is likely to assist.</w:t>
      </w:r>
    </w:p>
    <w:p w:rsidR="00C82717" w:rsidRPr="00C169DB" w:rsidRDefault="00C82717" w:rsidP="00C82717">
      <w:pPr>
        <w:contextualSpacing/>
        <w:rPr>
          <w:rFonts w:ascii="TitilliumText25L" w:eastAsia="Calibri" w:hAnsi="TitilliumText25L"/>
        </w:rPr>
      </w:pPr>
      <w:r w:rsidRPr="00C169DB">
        <w:rPr>
          <w:rFonts w:ascii="TitilliumText25L" w:eastAsia="Calibri" w:hAnsi="TitilliumText25L"/>
        </w:rPr>
        <w:t>In the absence of an electronic prescribing / ordering system, incorporation of the haemoglobin thresholds and the Single Unit Transfusion Guideline within the blood order / prescription form will provide timely point of care reminders of the guideline requirements.</w:t>
      </w:r>
    </w:p>
    <w:p w:rsidR="00C82717" w:rsidRPr="00C169DB" w:rsidRDefault="00C82717" w:rsidP="00C82717">
      <w:pPr>
        <w:contextualSpacing/>
        <w:rPr>
          <w:rFonts w:ascii="TitilliumText25L" w:eastAsia="Calibri" w:hAnsi="TitilliumText25L"/>
        </w:rPr>
      </w:pPr>
      <w:r w:rsidRPr="00C169DB">
        <w:rPr>
          <w:rFonts w:ascii="TitilliumText25L" w:eastAsia="Calibri" w:hAnsi="TitilliumText25L"/>
        </w:rPr>
        <w:t>Consideration should be given to introducing data collection and analysis as a standing item on the Transfusion Governance Committee / Patient Blood Management Committee agenda. This committee may nominate a person responsible for this task.</w:t>
      </w:r>
    </w:p>
    <w:p w:rsidR="00C82717" w:rsidRPr="00C169DB" w:rsidRDefault="00C82717" w:rsidP="00C82717">
      <w:pPr>
        <w:contextualSpacing/>
        <w:rPr>
          <w:rFonts w:ascii="TitilliumText25L" w:eastAsia="Calibri" w:hAnsi="TitilliumText25L"/>
        </w:rPr>
      </w:pPr>
      <w:r w:rsidRPr="00C169DB">
        <w:rPr>
          <w:rFonts w:ascii="TitilliumText25L" w:eastAsia="Calibri" w:hAnsi="TitilliumText25L"/>
        </w:rPr>
        <w:t>A transfusion nurse specialist or quality management staff may be involved with data collection and analysis.</w:t>
      </w:r>
    </w:p>
    <w:p w:rsidR="00C82717" w:rsidRPr="00C169DB" w:rsidRDefault="00C82717" w:rsidP="00C82717">
      <w:pPr>
        <w:rPr>
          <w:rFonts w:ascii="TitilliumText25L" w:eastAsia="Calibri" w:hAnsi="TitilliumText25L"/>
          <w:b/>
        </w:rPr>
      </w:pPr>
    </w:p>
    <w:p w:rsidR="00C82717" w:rsidRPr="00C169DB" w:rsidRDefault="00C82717" w:rsidP="00C82717">
      <w:pPr>
        <w:rPr>
          <w:rFonts w:ascii="TitilliumText25L" w:eastAsia="Calibri" w:hAnsi="TitilliumText25L"/>
          <w:b/>
        </w:rPr>
      </w:pPr>
      <w:r w:rsidRPr="00C169DB">
        <w:rPr>
          <w:rFonts w:ascii="TitilliumText25L" w:eastAsia="Calibri" w:hAnsi="TitilliumText25L"/>
          <w:b/>
        </w:rPr>
        <w:t>Review and feedback</w:t>
      </w:r>
    </w:p>
    <w:p w:rsidR="00C82717" w:rsidRPr="00C169DB" w:rsidRDefault="00C82717" w:rsidP="00C82717">
      <w:pPr>
        <w:numPr>
          <w:ilvl w:val="0"/>
          <w:numId w:val="10"/>
        </w:numPr>
        <w:contextualSpacing/>
        <w:rPr>
          <w:rFonts w:ascii="TitilliumText25L" w:eastAsia="Calibri" w:hAnsi="TitilliumText25L"/>
        </w:rPr>
      </w:pPr>
      <w:r w:rsidRPr="00C169DB">
        <w:rPr>
          <w:rFonts w:ascii="TitilliumText25L" w:eastAsia="Calibri" w:hAnsi="TitilliumText25L"/>
        </w:rPr>
        <w:t>Consider including audit feedback as a standing item on the Transfusion Governance Committee / Patient Blood Management Committee agenda</w:t>
      </w:r>
    </w:p>
    <w:p w:rsidR="00C82717" w:rsidRPr="00C169DB" w:rsidRDefault="00C82717" w:rsidP="00C82717">
      <w:pPr>
        <w:numPr>
          <w:ilvl w:val="0"/>
          <w:numId w:val="10"/>
        </w:numPr>
        <w:contextualSpacing/>
        <w:rPr>
          <w:rFonts w:ascii="TitilliumText25L" w:eastAsia="Calibri" w:hAnsi="TitilliumText25L"/>
        </w:rPr>
      </w:pPr>
      <w:r w:rsidRPr="00C169DB">
        <w:rPr>
          <w:rFonts w:ascii="TitilliumText25L" w:eastAsia="Calibri" w:hAnsi="TitilliumText25L"/>
        </w:rPr>
        <w:t>Consider sharing statistics with transfusion staff to highlight the impact of the introduction of the Single Unit Transfusion Guideline</w:t>
      </w:r>
    </w:p>
    <w:p w:rsidR="00C82717" w:rsidRPr="00C169DB" w:rsidRDefault="00C82717" w:rsidP="00C82717">
      <w:pPr>
        <w:numPr>
          <w:ilvl w:val="0"/>
          <w:numId w:val="10"/>
        </w:numPr>
        <w:contextualSpacing/>
        <w:rPr>
          <w:rFonts w:ascii="TitilliumText25L" w:eastAsia="Calibri" w:hAnsi="TitilliumText25L"/>
        </w:rPr>
      </w:pPr>
      <w:r w:rsidRPr="00C169DB">
        <w:rPr>
          <w:rFonts w:ascii="TitilliumText25L" w:eastAsia="Calibri" w:hAnsi="TitilliumText25L"/>
        </w:rPr>
        <w:t>Continue empowering transfusion staff</w:t>
      </w:r>
    </w:p>
    <w:p w:rsidR="00056C53" w:rsidRPr="00C169DB" w:rsidRDefault="00C82717" w:rsidP="00056C53">
      <w:pPr>
        <w:numPr>
          <w:ilvl w:val="0"/>
          <w:numId w:val="10"/>
        </w:numPr>
        <w:contextualSpacing/>
        <w:rPr>
          <w:rFonts w:ascii="TitilliumText25L" w:eastAsia="Calibri" w:hAnsi="TitilliumText25L"/>
        </w:rPr>
      </w:pPr>
      <w:r w:rsidRPr="00C169DB">
        <w:rPr>
          <w:rFonts w:ascii="TitilliumText25L" w:eastAsia="Calibri" w:hAnsi="TitilliumText25L"/>
        </w:rPr>
        <w:t>Consider providing a forum to air / discuss concerns and seek resolution to problems</w:t>
      </w:r>
    </w:p>
    <w:p w:rsidR="00056C53" w:rsidRPr="00C169DB" w:rsidRDefault="00C82717" w:rsidP="00056C53">
      <w:pPr>
        <w:numPr>
          <w:ilvl w:val="0"/>
          <w:numId w:val="10"/>
        </w:numPr>
        <w:contextualSpacing/>
        <w:rPr>
          <w:rFonts w:ascii="TitilliumText25L" w:eastAsia="Calibri" w:hAnsi="TitilliumText25L"/>
          <w:color w:val="0070C0"/>
        </w:rPr>
      </w:pPr>
      <w:r w:rsidRPr="00C169DB">
        <w:rPr>
          <w:rFonts w:ascii="TitilliumText25L" w:eastAsia="Calibri" w:hAnsi="TitilliumText25L"/>
        </w:rPr>
        <w:t>Consider providing access to articles / reports about progress and new developments in Single Unit Transfusion and Patient Blood Management .</w:t>
      </w:r>
      <w:r w:rsidRPr="00C169DB">
        <w:rPr>
          <w:rFonts w:ascii="TitilliumText25L" w:eastAsia="Calibri" w:hAnsi="TitilliumText25L"/>
          <w:color w:val="0070C0"/>
        </w:rPr>
        <w:t xml:space="preserve"> </w:t>
      </w:r>
    </w:p>
    <w:p w:rsidR="00056C53" w:rsidRPr="00C169DB" w:rsidRDefault="00056C53" w:rsidP="00056C53">
      <w:pPr>
        <w:rPr>
          <w:rFonts w:ascii="TitilliumText25L" w:eastAsia="Calibri" w:hAnsi="TitilliumText25L"/>
          <w:color w:val="0070C0"/>
        </w:rPr>
      </w:pPr>
      <w:r w:rsidRPr="00C169DB">
        <w:rPr>
          <w:rFonts w:ascii="TitilliumText25L" w:eastAsia="Calibri" w:hAnsi="TitilliumText25L"/>
          <w:color w:val="0070C0"/>
        </w:rPr>
        <w:br w:type="page"/>
      </w:r>
    </w:p>
    <w:p w:rsidR="00B608C7" w:rsidRPr="00C169DB" w:rsidRDefault="00B608C7" w:rsidP="00056C53">
      <w:pPr>
        <w:contextualSpacing/>
        <w:rPr>
          <w:rFonts w:ascii="TitilliumText25L" w:hAnsi="TitilliumText25L"/>
          <w:b/>
          <w:color w:val="C60C30"/>
          <w:sz w:val="32"/>
          <w:szCs w:val="32"/>
        </w:rPr>
      </w:pPr>
      <w:r w:rsidRPr="00C169DB">
        <w:rPr>
          <w:rFonts w:ascii="TitilliumText25L" w:hAnsi="TitilliumText25L"/>
          <w:b/>
          <w:color w:val="C60C30"/>
          <w:sz w:val="32"/>
          <w:szCs w:val="32"/>
        </w:rPr>
        <w:t>CONSULTATION WITH KEY STAKEHOLDERS</w:t>
      </w:r>
    </w:p>
    <w:p w:rsidR="00056C53" w:rsidRPr="00C169DB" w:rsidRDefault="00056C53" w:rsidP="00056C53">
      <w:pPr>
        <w:spacing w:before="120" w:after="120"/>
        <w:rPr>
          <w:rFonts w:ascii="TitilliumText25L" w:hAnsi="TitilliumText25L"/>
        </w:rPr>
      </w:pPr>
      <w:r w:rsidRPr="00C169DB">
        <w:rPr>
          <w:rFonts w:ascii="TitilliumText25L" w:hAnsi="TitilliumText25L"/>
          <w:color w:val="C60C30"/>
          <w:highlight w:val="lightGray"/>
        </w:rPr>
        <w:t>List the key stakeholders consulted including name and title</w:t>
      </w:r>
      <w:r w:rsidRPr="00C169DB">
        <w:rPr>
          <w:rFonts w:ascii="TitilliumText25L" w:hAnsi="TitilliumText25L"/>
          <w:highlight w:val="lightGray"/>
        </w:rPr>
        <w:t>]</w:t>
      </w:r>
      <w:r w:rsidRPr="00C169DB">
        <w:rPr>
          <w:rFonts w:ascii="TitilliumText25L" w:hAnsi="TitilliumText25L"/>
        </w:rPr>
        <w:t xml:space="preserve"> Suggestions include:</w:t>
      </w:r>
    </w:p>
    <w:p w:rsidR="00056C53" w:rsidRPr="00C169DB" w:rsidRDefault="00056C53" w:rsidP="00056C53">
      <w:pPr>
        <w:spacing w:before="120" w:after="120"/>
        <w:rPr>
          <w:rFonts w:ascii="TitilliumText25L" w:hAnsi="TitilliumText25L"/>
        </w:rPr>
      </w:pPr>
      <w:r w:rsidRPr="00C169DB">
        <w:rPr>
          <w:rFonts w:ascii="TitilliumText25L" w:hAnsi="TitilliumText25L"/>
        </w:rPr>
        <w:t>Chair and membership of the Transfusion Governance Committee.</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Directors</w:t>
      </w:r>
      <w:r w:rsidRPr="00C169DB">
        <w:rPr>
          <w:rFonts w:ascii="TitilliumText25L" w:hAnsi="TitilliumText25L"/>
        </w:rPr>
        <w:t xml:space="preserve"> of medicine, surgery, haematology, oncology, anaesthetics, intensive care and others.</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Leading clinicians</w:t>
      </w:r>
      <w:r w:rsidRPr="00C169DB">
        <w:rPr>
          <w:rFonts w:ascii="TitilliumText25L" w:hAnsi="TitilliumText25L"/>
        </w:rPr>
        <w:t xml:space="preserve"> in specialties such as medicine, surgery, haematology, oncology, anaesthetics, intensive care, orthopaedics, cardiology, gastroenterology</w:t>
      </w:r>
      <w:r w:rsidRPr="00C169DB" w:rsidDel="008B234E">
        <w:rPr>
          <w:rFonts w:ascii="TitilliumText25L" w:hAnsi="TitilliumText25L"/>
        </w:rPr>
        <w:t xml:space="preserve"> </w:t>
      </w:r>
      <w:r w:rsidRPr="00C169DB">
        <w:rPr>
          <w:rFonts w:ascii="TitilliumText25L" w:hAnsi="TitilliumText25L"/>
        </w:rPr>
        <w:t>, renal medicine, surgical specialties, and others.</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Visiting Medical Officers / General Practitioners</w:t>
      </w:r>
      <w:r w:rsidRPr="00C169DB">
        <w:rPr>
          <w:rFonts w:ascii="TitilliumText25L" w:hAnsi="TitilliumText25L"/>
        </w:rPr>
        <w:t>, where appropriate.</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Nurse Unit Managers</w:t>
      </w:r>
      <w:r w:rsidRPr="00C169DB">
        <w:rPr>
          <w:rFonts w:ascii="TitilliumText25L" w:hAnsi="TitilliumText25L"/>
        </w:rPr>
        <w:t xml:space="preserve"> and educators of wards and units where transfusions occur.</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Senior Laboratory staff</w:t>
      </w:r>
      <w:r w:rsidRPr="00C169DB">
        <w:rPr>
          <w:rFonts w:ascii="TitilliumText25L" w:hAnsi="TitilliumText25L"/>
        </w:rPr>
        <w:t xml:space="preserve"> responsible for transfusion services.</w:t>
      </w:r>
    </w:p>
    <w:p w:rsidR="00056C53" w:rsidRPr="00C169DB" w:rsidRDefault="00056C53" w:rsidP="00056C53">
      <w:pPr>
        <w:spacing w:before="120" w:after="120"/>
        <w:rPr>
          <w:rFonts w:ascii="TitilliumText25L" w:hAnsi="TitilliumText25L"/>
        </w:rPr>
      </w:pPr>
      <w:r w:rsidRPr="00C169DB">
        <w:rPr>
          <w:rFonts w:ascii="TitilliumText25L" w:hAnsi="TitilliumText25L"/>
          <w:u w:val="single"/>
        </w:rPr>
        <w:t>Patient / community consumer</w:t>
      </w:r>
      <w:r w:rsidRPr="00C169DB">
        <w:rPr>
          <w:rFonts w:ascii="TitilliumText25L" w:hAnsi="TitilliumText25L"/>
        </w:rPr>
        <w:t xml:space="preserve"> representative.</w:t>
      </w:r>
    </w:p>
    <w:p w:rsidR="00056C53" w:rsidRPr="00C169DB" w:rsidRDefault="00056C53" w:rsidP="00056C53">
      <w:pPr>
        <w:spacing w:before="120" w:after="120"/>
        <w:rPr>
          <w:rFonts w:ascii="TitilliumText25L" w:hAnsi="TitilliumText25L"/>
        </w:rPr>
      </w:pPr>
      <w:r w:rsidRPr="00C169DB">
        <w:rPr>
          <w:rFonts w:ascii="TitilliumText25L" w:hAnsi="TitilliumText25L"/>
          <w:b/>
          <w:bCs/>
        </w:rPr>
        <w:t>Tips on the consultation process:</w:t>
      </w:r>
      <w:r w:rsidRPr="00C169DB">
        <w:rPr>
          <w:rFonts w:ascii="TitilliumText25L" w:hAnsi="TitilliumText25L"/>
        </w:rPr>
        <w:t xml:space="preserve"> Whilst wide consultation is preferable thought should be given to managing the process to ensure the document is finalised within a reasonable timeframe. When asking for feedback clear instructions should be given regarding what is being requested, the date by which it should be received and the contact details of the staff member who will collect the information. There are two levels of consultation:</w:t>
      </w:r>
    </w:p>
    <w:p w:rsidR="00056C53" w:rsidRPr="00C169DB" w:rsidRDefault="00056C53" w:rsidP="00056C53">
      <w:pPr>
        <w:pStyle w:val="ListParagraph"/>
        <w:numPr>
          <w:ilvl w:val="0"/>
          <w:numId w:val="29"/>
        </w:numPr>
        <w:spacing w:before="120" w:after="120"/>
        <w:ind w:left="426"/>
        <w:contextualSpacing w:val="0"/>
        <w:rPr>
          <w:rFonts w:ascii="TitilliumText25L" w:hAnsi="TitilliumText25L"/>
        </w:rPr>
      </w:pPr>
      <w:r w:rsidRPr="00C169DB">
        <w:rPr>
          <w:rFonts w:ascii="TitilliumText25L" w:hAnsi="TitilliumText25L"/>
          <w:b/>
          <w:bCs/>
        </w:rPr>
        <w:t>Targeted consultation</w:t>
      </w:r>
      <w:r w:rsidRPr="00C169DB">
        <w:rPr>
          <w:rFonts w:ascii="TitilliumText25L" w:hAnsi="TitilliumText25L"/>
        </w:rPr>
        <w:t xml:space="preserve"> - specific staff who are experts in the field and/or whose input is important for the drafting of the document. Involve staff from whom support for the implementation of the document is vital and include representation from the applicable geographic areas and types of clinical settings.</w:t>
      </w:r>
    </w:p>
    <w:p w:rsidR="00056C53" w:rsidRPr="00C169DB" w:rsidRDefault="00056C53" w:rsidP="00056C53">
      <w:pPr>
        <w:pStyle w:val="ListParagraph"/>
        <w:numPr>
          <w:ilvl w:val="0"/>
          <w:numId w:val="29"/>
        </w:numPr>
        <w:spacing w:before="120" w:after="120"/>
        <w:ind w:left="426"/>
        <w:contextualSpacing w:val="0"/>
        <w:rPr>
          <w:rFonts w:ascii="TitilliumText25L" w:hAnsi="TitilliumText25L"/>
        </w:rPr>
      </w:pPr>
      <w:r w:rsidRPr="00C169DB">
        <w:rPr>
          <w:rFonts w:ascii="TitilliumText25L" w:hAnsi="TitilliumText25L"/>
          <w:b/>
          <w:bCs/>
        </w:rPr>
        <w:t>Non-targeted consultation</w:t>
      </w:r>
      <w:r w:rsidRPr="00C169DB">
        <w:rPr>
          <w:rFonts w:ascii="TitilliumText25L" w:hAnsi="TitilliumText25L"/>
        </w:rPr>
        <w:t xml:space="preserve"> - you may wish to notify a wider audience that the document is in development and give them the opportunity to provide feedback by a certain date. Nursing and Midwifery staff can be consulted via the Nursing and Midwifery Clinical Guideline and Procedure Coordinator .</w:t>
      </w:r>
    </w:p>
    <w:p w:rsidR="00441199" w:rsidRPr="00C169DB" w:rsidRDefault="00441199" w:rsidP="00B608C7">
      <w:pPr>
        <w:spacing w:before="120" w:after="120"/>
        <w:rPr>
          <w:rFonts w:ascii="TitilliumText25L" w:hAnsi="TitilliumText25L"/>
          <w:b/>
          <w:color w:val="C60C30"/>
          <w:sz w:val="32"/>
          <w:szCs w:val="32"/>
        </w:rPr>
      </w:pPr>
    </w:p>
    <w:p w:rsidR="00B608C7" w:rsidRPr="00C169DB" w:rsidRDefault="00B608C7" w:rsidP="00B608C7">
      <w:pPr>
        <w:spacing w:before="120" w:after="120"/>
        <w:rPr>
          <w:rFonts w:ascii="TitilliumText25L" w:hAnsi="TitilliumText25L"/>
          <w:b/>
          <w:color w:val="C60C30"/>
          <w:sz w:val="32"/>
          <w:szCs w:val="32"/>
        </w:rPr>
      </w:pPr>
      <w:r w:rsidRPr="00C169DB">
        <w:rPr>
          <w:rFonts w:ascii="TitilliumText25L" w:hAnsi="TitilliumText25L"/>
          <w:b/>
          <w:color w:val="C60C30"/>
          <w:sz w:val="32"/>
          <w:szCs w:val="32"/>
        </w:rPr>
        <w:t>APPENDIXES</w:t>
      </w:r>
    </w:p>
    <w:p w:rsidR="00601436" w:rsidRPr="00C169DB" w:rsidRDefault="00056C53" w:rsidP="00B608C7">
      <w:pPr>
        <w:spacing w:before="120" w:after="120"/>
        <w:rPr>
          <w:rFonts w:ascii="TitilliumText25L" w:hAnsi="TitilliumText25L"/>
          <w:b/>
          <w:color w:val="C60C30"/>
          <w:sz w:val="32"/>
          <w:szCs w:val="32"/>
        </w:rPr>
      </w:pPr>
      <w:r w:rsidRPr="00C169DB">
        <w:rPr>
          <w:rFonts w:ascii="TitilliumText25L" w:hAnsi="TitilliumText25L"/>
        </w:rPr>
        <w:t>Audit Tool – An audit tool is currently under development</w:t>
      </w:r>
    </w:p>
    <w:p w:rsidR="00601436" w:rsidRPr="00C169DB" w:rsidRDefault="00601436">
      <w:pPr>
        <w:rPr>
          <w:rFonts w:ascii="TitilliumText25L" w:hAnsi="TitilliumText25L"/>
          <w:b/>
          <w:color w:val="C60C30"/>
          <w:sz w:val="32"/>
          <w:szCs w:val="32"/>
        </w:rPr>
      </w:pPr>
      <w:r w:rsidRPr="00C169DB">
        <w:rPr>
          <w:rFonts w:ascii="TitilliumText25L" w:hAnsi="TitilliumText25L"/>
          <w:b/>
          <w:color w:val="C60C30"/>
          <w:sz w:val="32"/>
          <w:szCs w:val="32"/>
        </w:rPr>
        <w:br w:type="page"/>
      </w:r>
    </w:p>
    <w:p w:rsidR="00B608C7" w:rsidRPr="00C169DB" w:rsidRDefault="00B608C7" w:rsidP="00B608C7">
      <w:pPr>
        <w:spacing w:before="120" w:after="120"/>
        <w:rPr>
          <w:rFonts w:ascii="TitilliumText25L" w:hAnsi="TitilliumText25L"/>
          <w:b/>
          <w:color w:val="C60C30"/>
          <w:sz w:val="32"/>
          <w:szCs w:val="32"/>
        </w:rPr>
      </w:pPr>
      <w:r w:rsidRPr="00C169DB">
        <w:rPr>
          <w:rFonts w:ascii="TitilliumText25L" w:hAnsi="TitilliumText25L"/>
          <w:b/>
          <w:color w:val="C60C30"/>
          <w:sz w:val="32"/>
          <w:szCs w:val="32"/>
        </w:rPr>
        <w:t>REFERENCES</w:t>
      </w:r>
    </w:p>
    <w:p w:rsidR="00056C53" w:rsidRPr="00C169DB" w:rsidRDefault="00056C53" w:rsidP="00056C53">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1.</w:t>
      </w:r>
      <w:r w:rsidRPr="00C169DB">
        <w:rPr>
          <w:rFonts w:ascii="TitilliumText25L" w:hAnsi="TitilliumText25L" w:cs="Calibri"/>
          <w:noProof/>
          <w:sz w:val="22"/>
        </w:rPr>
        <w:tab/>
        <w:t xml:space="preserve">Hunter New England Local Health District </w:t>
      </w:r>
      <w:r w:rsidRPr="00C169DB">
        <w:rPr>
          <w:rFonts w:ascii="TitilliumText25L" w:hAnsi="TitilliumText25L" w:cs="Calibri"/>
          <w:iCs/>
          <w:noProof/>
          <w:sz w:val="22"/>
        </w:rPr>
        <w:t>Clinical Guideline</w:t>
      </w:r>
      <w:r w:rsidRPr="00C169DB">
        <w:rPr>
          <w:rFonts w:ascii="TitilliumText25L" w:hAnsi="TitilliumText25L" w:cs="Calibri"/>
          <w:noProof/>
          <w:sz w:val="22"/>
        </w:rPr>
        <w:t>. (Hunter New England Health District, NSW Government: 2013).</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2.</w:t>
      </w:r>
      <w:r w:rsidRPr="00C169DB">
        <w:rPr>
          <w:rFonts w:ascii="TitilliumText25L" w:hAnsi="TitilliumText25L" w:cs="Calibri"/>
          <w:noProof/>
          <w:sz w:val="22"/>
        </w:rPr>
        <w:tab/>
        <w:t xml:space="preserve">Webert, K. E. </w:t>
      </w:r>
      <w:r w:rsidRPr="00C169DB">
        <w:rPr>
          <w:rFonts w:ascii="TitilliumText25L" w:hAnsi="TitilliumText25L" w:cs="Calibri"/>
          <w:iCs/>
          <w:noProof/>
          <w:sz w:val="22"/>
        </w:rPr>
        <w:t>et al.</w:t>
      </w:r>
      <w:r w:rsidRPr="00C169DB">
        <w:rPr>
          <w:rFonts w:ascii="TitilliumText25L" w:hAnsi="TitilliumText25L" w:cs="Calibri"/>
          <w:noProof/>
          <w:sz w:val="22"/>
        </w:rPr>
        <w:t xml:space="preserve"> A new tool to assess bleeding severity in patients with chemotherapy-induced thrmbocytopaenia. </w:t>
      </w:r>
      <w:r w:rsidRPr="00C169DB">
        <w:rPr>
          <w:rFonts w:ascii="TitilliumText25L" w:hAnsi="TitilliumText25L" w:cs="Calibri"/>
          <w:iCs/>
          <w:noProof/>
          <w:sz w:val="22"/>
        </w:rPr>
        <w:t>Transfusion Practice</w:t>
      </w:r>
      <w:r w:rsidRPr="00C169DB">
        <w:rPr>
          <w:rFonts w:ascii="TitilliumText25L" w:hAnsi="TitilliumText25L" w:cs="Calibri"/>
          <w:noProof/>
          <w:sz w:val="22"/>
        </w:rPr>
        <w:t xml:space="preserve"> </w:t>
      </w:r>
      <w:r w:rsidRPr="00C169DB">
        <w:rPr>
          <w:rFonts w:ascii="TitilliumText25L" w:hAnsi="TitilliumText25L" w:cs="Calibri"/>
          <w:b/>
          <w:bCs/>
          <w:noProof/>
          <w:sz w:val="22"/>
        </w:rPr>
        <w:t>52</w:t>
      </w:r>
      <w:r w:rsidRPr="00C169DB">
        <w:rPr>
          <w:rFonts w:ascii="TitilliumText25L" w:hAnsi="TitilliumText25L" w:cs="Calibri"/>
          <w:noProof/>
          <w:sz w:val="22"/>
        </w:rPr>
        <w:t>, 2466–2474 (2012).</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3.</w:t>
      </w:r>
      <w:r w:rsidRPr="00C169DB">
        <w:rPr>
          <w:rFonts w:ascii="TitilliumText25L" w:hAnsi="TitilliumText25L" w:cs="Calibri"/>
          <w:noProof/>
          <w:sz w:val="22"/>
        </w:rPr>
        <w:tab/>
        <w:t xml:space="preserve">National Blood Authority </w:t>
      </w:r>
      <w:r w:rsidRPr="00C169DB">
        <w:rPr>
          <w:rFonts w:ascii="TitilliumText25L" w:hAnsi="TitilliumText25L" w:cs="Calibri"/>
          <w:iCs/>
          <w:noProof/>
          <w:sz w:val="22"/>
        </w:rPr>
        <w:t>Patient blood management guidelines: Module 2 – Perioperative.</w:t>
      </w:r>
      <w:r w:rsidRPr="00C169DB">
        <w:rPr>
          <w:rFonts w:ascii="TitilliumText25L" w:hAnsi="TitilliumText25L" w:cs="Calibri"/>
          <w:noProof/>
          <w:sz w:val="22"/>
        </w:rPr>
        <w:t xml:space="preserve"> (Canberra, Australia, 2012).at &lt;</w:t>
      </w:r>
      <w:hyperlink r:id="rId39" w:history="1">
        <w:r w:rsidRPr="00C169DB">
          <w:rPr>
            <w:rStyle w:val="Hyperlink"/>
            <w:rFonts w:ascii="TitilliumText25L" w:hAnsi="TitilliumText25L" w:cs="Calibri"/>
            <w:noProof/>
            <w:sz w:val="22"/>
          </w:rPr>
          <w:t>http://www.blood.gov.au/pbm-guidelines</w:t>
        </w:r>
      </w:hyperlink>
      <w:r w:rsidRPr="00C169DB">
        <w:rPr>
          <w:rFonts w:ascii="TitilliumText25L" w:hAnsi="TitilliumText25L" w:cs="Calibri"/>
          <w:noProof/>
          <w:sz w:val="22"/>
        </w:rPr>
        <w:t xml:space="preserve"> &gt;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4.</w:t>
      </w:r>
      <w:r w:rsidRPr="00C169DB">
        <w:rPr>
          <w:rFonts w:ascii="TitilliumText25L" w:hAnsi="TitilliumText25L" w:cs="Calibri"/>
          <w:noProof/>
          <w:sz w:val="22"/>
        </w:rPr>
        <w:tab/>
        <w:t xml:space="preserve">National Blood Authority </w:t>
      </w:r>
      <w:r w:rsidRPr="00C169DB">
        <w:rPr>
          <w:rFonts w:ascii="TitilliumText25L" w:hAnsi="TitilliumText25L" w:cs="Calibri"/>
          <w:iCs/>
          <w:noProof/>
          <w:sz w:val="22"/>
        </w:rPr>
        <w:t>Patient blood management guidelines: Module 3 – Medical</w:t>
      </w:r>
      <w:r w:rsidRPr="00C169DB">
        <w:rPr>
          <w:rFonts w:ascii="TitilliumText25L" w:hAnsi="TitilliumText25L" w:cs="Calibri"/>
          <w:noProof/>
          <w:sz w:val="22"/>
        </w:rPr>
        <w:t>. (National Blood Authority: Canberra, Australia, 2012).at &lt;http://www.blood.gov.au/pbm-guidelines&gt;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5.</w:t>
      </w:r>
      <w:r w:rsidRPr="00C169DB">
        <w:rPr>
          <w:rFonts w:ascii="TitilliumText25L" w:hAnsi="TitilliumText25L" w:cs="Calibri"/>
          <w:noProof/>
          <w:sz w:val="22"/>
        </w:rPr>
        <w:tab/>
        <w:t xml:space="preserve">National Blood Authority </w:t>
      </w:r>
      <w:r w:rsidRPr="00C169DB">
        <w:rPr>
          <w:rFonts w:ascii="TitilliumText25L" w:hAnsi="TitilliumText25L" w:cs="Calibri"/>
          <w:iCs/>
          <w:noProof/>
          <w:sz w:val="22"/>
        </w:rPr>
        <w:t>Patient blood management guidelines: Module 4 – Critical Care</w:t>
      </w:r>
      <w:r w:rsidRPr="00C169DB">
        <w:rPr>
          <w:rFonts w:ascii="TitilliumText25L" w:hAnsi="TitilliumText25L" w:cs="Calibri"/>
          <w:noProof/>
          <w:sz w:val="22"/>
        </w:rPr>
        <w:t>. (Canberra, Australia, 2013).at &lt;</w:t>
      </w:r>
      <w:hyperlink r:id="rId40" w:history="1">
        <w:r w:rsidRPr="00C169DB">
          <w:rPr>
            <w:rStyle w:val="Hyperlink"/>
            <w:rFonts w:ascii="TitilliumText25L" w:hAnsi="TitilliumText25L" w:cs="Calibri"/>
            <w:noProof/>
            <w:sz w:val="22"/>
          </w:rPr>
          <w:t>http://www.blood.gov.au/pbm-guidelines</w:t>
        </w:r>
      </w:hyperlink>
      <w:r w:rsidRPr="00C169DB">
        <w:rPr>
          <w:rFonts w:ascii="TitilliumText25L" w:hAnsi="TitilliumText25L" w:cs="Calibri"/>
          <w:noProof/>
          <w:sz w:val="22"/>
        </w:rPr>
        <w:t>&gt;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6.</w:t>
      </w:r>
      <w:r w:rsidRPr="00C169DB">
        <w:rPr>
          <w:rFonts w:ascii="TitilliumText25L" w:hAnsi="TitilliumText25L" w:cs="Calibri"/>
          <w:noProof/>
          <w:sz w:val="22"/>
        </w:rPr>
        <w:tab/>
        <w:t xml:space="preserve">Ma, M., Eckert, K., Ralley, F. &amp; Chin-Yee, I. A retrospective study evaluating single-unit red blood cell transfusions in reducing allogeneic blood exposure. </w:t>
      </w:r>
      <w:r w:rsidRPr="00C169DB">
        <w:rPr>
          <w:rFonts w:ascii="TitilliumText25L" w:hAnsi="TitilliumText25L" w:cs="Calibri"/>
          <w:iCs/>
          <w:noProof/>
          <w:sz w:val="22"/>
        </w:rPr>
        <w:t>Transfusion Medicine</w:t>
      </w:r>
      <w:r w:rsidRPr="00C169DB">
        <w:rPr>
          <w:rFonts w:ascii="TitilliumText25L" w:hAnsi="TitilliumText25L" w:cs="Calibri"/>
          <w:noProof/>
          <w:sz w:val="22"/>
        </w:rPr>
        <w:t xml:space="preserve"> </w:t>
      </w:r>
      <w:r w:rsidRPr="00C169DB">
        <w:rPr>
          <w:rFonts w:ascii="TitilliumText25L" w:hAnsi="TitilliumText25L" w:cs="Calibri"/>
          <w:b/>
          <w:bCs/>
          <w:noProof/>
          <w:sz w:val="22"/>
        </w:rPr>
        <w:t>15</w:t>
      </w:r>
      <w:r w:rsidRPr="00C169DB">
        <w:rPr>
          <w:rFonts w:ascii="TitilliumText25L" w:hAnsi="TitilliumText25L" w:cs="Calibri"/>
          <w:noProof/>
          <w:sz w:val="22"/>
        </w:rPr>
        <w:t>, 307–312 (2005).</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7.</w:t>
      </w:r>
      <w:r w:rsidRPr="00C169DB">
        <w:rPr>
          <w:rFonts w:ascii="TitilliumText25L" w:hAnsi="TitilliumText25L" w:cs="Calibri"/>
          <w:noProof/>
          <w:sz w:val="22"/>
        </w:rPr>
        <w:tab/>
        <w:t xml:space="preserve">Berger, M. D. </w:t>
      </w:r>
      <w:r w:rsidRPr="00C169DB">
        <w:rPr>
          <w:rFonts w:ascii="TitilliumText25L" w:hAnsi="TitilliumText25L" w:cs="Calibri"/>
          <w:iCs/>
          <w:noProof/>
          <w:sz w:val="22"/>
        </w:rPr>
        <w:t>et al.</w:t>
      </w:r>
      <w:r w:rsidRPr="00C169DB">
        <w:rPr>
          <w:rFonts w:ascii="TitilliumText25L" w:hAnsi="TitilliumText25L" w:cs="Calibri"/>
          <w:noProof/>
          <w:sz w:val="22"/>
        </w:rPr>
        <w:t xml:space="preserve"> Significant reduction of red blood cell transfusion requirements by changing from a double-unit to a single-unit transfusion policy in patients receiving intensive chemotherapy or stem cell transplantation. </w:t>
      </w:r>
      <w:r w:rsidRPr="00C169DB">
        <w:rPr>
          <w:rFonts w:ascii="TitilliumText25L" w:hAnsi="TitilliumText25L" w:cs="Calibri"/>
          <w:iCs/>
          <w:noProof/>
          <w:sz w:val="22"/>
        </w:rPr>
        <w:t>haematologica</w:t>
      </w:r>
      <w:r w:rsidRPr="00C169DB">
        <w:rPr>
          <w:rFonts w:ascii="TitilliumText25L" w:hAnsi="TitilliumText25L" w:cs="Calibri"/>
          <w:noProof/>
          <w:sz w:val="22"/>
        </w:rPr>
        <w:t xml:space="preserve"> </w:t>
      </w:r>
      <w:r w:rsidRPr="00C169DB">
        <w:rPr>
          <w:rFonts w:ascii="TitilliumText25L" w:hAnsi="TitilliumText25L" w:cs="Calibri"/>
          <w:b/>
          <w:bCs/>
          <w:noProof/>
          <w:sz w:val="22"/>
        </w:rPr>
        <w:t>97</w:t>
      </w:r>
      <w:r w:rsidRPr="00C169DB">
        <w:rPr>
          <w:rFonts w:ascii="TitilliumText25L" w:hAnsi="TitilliumText25L" w:cs="Calibri"/>
          <w:noProof/>
          <w:sz w:val="22"/>
        </w:rPr>
        <w:t>, 116–122 (2012).</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8.</w:t>
      </w:r>
      <w:r w:rsidRPr="00C169DB">
        <w:rPr>
          <w:rFonts w:ascii="TitilliumText25L" w:hAnsi="TitilliumText25L" w:cs="Calibri"/>
          <w:noProof/>
          <w:sz w:val="22"/>
        </w:rPr>
        <w:tab/>
        <w:t xml:space="preserve">Carson, J. L. Red blood cell transfusion: a clinical practice guideline from the AABB. </w:t>
      </w:r>
      <w:r w:rsidRPr="00C169DB">
        <w:rPr>
          <w:rFonts w:ascii="TitilliumText25L" w:hAnsi="TitilliumText25L" w:cs="Calibri"/>
          <w:iCs/>
          <w:noProof/>
          <w:sz w:val="22"/>
        </w:rPr>
        <w:t>Annals of Internal Medicine</w:t>
      </w:r>
      <w:r w:rsidRPr="00C169DB">
        <w:rPr>
          <w:rFonts w:ascii="TitilliumText25L" w:hAnsi="TitilliumText25L" w:cs="Calibri"/>
          <w:noProof/>
          <w:sz w:val="22"/>
        </w:rPr>
        <w:t xml:space="preserve"> </w:t>
      </w:r>
      <w:r w:rsidRPr="00C169DB">
        <w:rPr>
          <w:rFonts w:ascii="TitilliumText25L" w:hAnsi="TitilliumText25L" w:cs="Calibri"/>
          <w:b/>
          <w:bCs/>
          <w:noProof/>
          <w:sz w:val="22"/>
        </w:rPr>
        <w:t>157</w:t>
      </w:r>
      <w:r w:rsidRPr="00C169DB">
        <w:rPr>
          <w:rFonts w:ascii="TitilliumText25L" w:hAnsi="TitilliumText25L" w:cs="Calibri"/>
          <w:noProof/>
          <w:sz w:val="22"/>
        </w:rPr>
        <w:t>, 49–58 (2012).</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9.</w:t>
      </w:r>
      <w:r w:rsidRPr="00C169DB">
        <w:rPr>
          <w:rFonts w:ascii="TitilliumText25L" w:hAnsi="TitilliumText25L" w:cs="Calibri"/>
          <w:noProof/>
          <w:sz w:val="22"/>
        </w:rPr>
        <w:tab/>
        <w:t xml:space="preserve">Rossi, E. C. Anaemia and Red cell Transfusion. </w:t>
      </w:r>
      <w:r w:rsidRPr="00C169DB">
        <w:rPr>
          <w:rFonts w:ascii="TitilliumText25L" w:hAnsi="TitilliumText25L" w:cs="Calibri"/>
          <w:iCs/>
          <w:noProof/>
          <w:sz w:val="22"/>
        </w:rPr>
        <w:t>Principles of Transfusion Medicine, Second edition</w:t>
      </w:r>
      <w:r w:rsidRPr="00C169DB">
        <w:rPr>
          <w:rFonts w:ascii="TitilliumText25L" w:hAnsi="TitilliumText25L" w:cs="Calibri"/>
          <w:noProof/>
          <w:sz w:val="22"/>
        </w:rPr>
        <w:t xml:space="preserve"> </w:t>
      </w:r>
      <w:r w:rsidRPr="00C169DB">
        <w:rPr>
          <w:rFonts w:ascii="TitilliumText25L" w:hAnsi="TitilliumText25L" w:cs="Calibri"/>
          <w:b/>
          <w:bCs/>
          <w:noProof/>
          <w:sz w:val="22"/>
        </w:rPr>
        <w:t>1</w:t>
      </w:r>
      <w:r w:rsidRPr="00C169DB">
        <w:rPr>
          <w:rFonts w:ascii="TitilliumText25L" w:hAnsi="TitilliumText25L" w:cs="Calibri"/>
          <w:noProof/>
          <w:sz w:val="22"/>
        </w:rPr>
        <w:t>, (1996).</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10.</w:t>
      </w:r>
      <w:r w:rsidRPr="00C169DB">
        <w:rPr>
          <w:rFonts w:ascii="TitilliumText25L" w:hAnsi="TitilliumText25L" w:cs="Calibri"/>
          <w:noProof/>
          <w:sz w:val="22"/>
        </w:rPr>
        <w:tab/>
        <w:t xml:space="preserve">Shander, A. A new perspective on best transfusion practices. </w:t>
      </w:r>
      <w:r w:rsidRPr="00C169DB">
        <w:rPr>
          <w:rFonts w:ascii="TitilliumText25L" w:hAnsi="TitilliumText25L" w:cs="Calibri"/>
          <w:iCs/>
          <w:noProof/>
          <w:sz w:val="22"/>
        </w:rPr>
        <w:t>Review Blood Transfus</w:t>
      </w:r>
      <w:r w:rsidRPr="00C169DB">
        <w:rPr>
          <w:rFonts w:ascii="TitilliumText25L" w:hAnsi="TitilliumText25L" w:cs="Calibri"/>
          <w:noProof/>
          <w:sz w:val="22"/>
        </w:rPr>
        <w:t xml:space="preserve"> </w:t>
      </w:r>
      <w:r w:rsidRPr="00C169DB">
        <w:rPr>
          <w:rFonts w:ascii="TitilliumText25L" w:hAnsi="TitilliumText25L" w:cs="Calibri"/>
          <w:b/>
          <w:bCs/>
          <w:noProof/>
          <w:sz w:val="22"/>
        </w:rPr>
        <w:t>1</w:t>
      </w:r>
      <w:r w:rsidRPr="00C169DB">
        <w:rPr>
          <w:rFonts w:ascii="TitilliumText25L" w:hAnsi="TitilliumText25L" w:cs="Calibri"/>
          <w:noProof/>
          <w:sz w:val="22"/>
        </w:rPr>
        <w:t>, (2012).</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11.</w:t>
      </w:r>
      <w:r w:rsidRPr="00C169DB">
        <w:rPr>
          <w:rFonts w:ascii="TitilliumText25L" w:hAnsi="TitilliumText25L" w:cs="Calibri"/>
          <w:noProof/>
          <w:sz w:val="22"/>
        </w:rPr>
        <w:tab/>
        <w:t xml:space="preserve">National Blood Authority </w:t>
      </w:r>
      <w:r w:rsidRPr="00C169DB">
        <w:rPr>
          <w:rFonts w:ascii="TitilliumText25L" w:hAnsi="TitilliumText25L" w:cs="Calibri"/>
          <w:iCs/>
          <w:noProof/>
          <w:sz w:val="22"/>
        </w:rPr>
        <w:t>Patient Blood Management Guidelines: Module 1 - Critical Bleeding / Massive Transfusion</w:t>
      </w:r>
      <w:r w:rsidRPr="00C169DB">
        <w:rPr>
          <w:rFonts w:ascii="TitilliumText25L" w:hAnsi="TitilliumText25L" w:cs="Calibri"/>
          <w:noProof/>
          <w:sz w:val="22"/>
        </w:rPr>
        <w:t>. (Canberra, Australia, 2011).at &lt;</w:t>
      </w:r>
      <w:hyperlink r:id="rId41" w:history="1">
        <w:r w:rsidRPr="00C169DB">
          <w:rPr>
            <w:rStyle w:val="Hyperlink"/>
            <w:rFonts w:ascii="TitilliumText25L" w:hAnsi="TitilliumText25L" w:cs="Calibri"/>
            <w:noProof/>
            <w:sz w:val="22"/>
          </w:rPr>
          <w:t>http://www.blood.gov.au/pbm-guidelines</w:t>
        </w:r>
      </w:hyperlink>
      <w:r w:rsidRPr="00C169DB">
        <w:rPr>
          <w:rFonts w:ascii="TitilliumText25L" w:hAnsi="TitilliumText25L" w:cs="Calibri"/>
          <w:noProof/>
          <w:sz w:val="22"/>
        </w:rPr>
        <w:t>&gt;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12.</w:t>
      </w:r>
      <w:r w:rsidRPr="00C169DB">
        <w:rPr>
          <w:rFonts w:ascii="TitilliumText25L" w:hAnsi="TitilliumText25L" w:cs="Calibri"/>
          <w:noProof/>
          <w:sz w:val="22"/>
        </w:rPr>
        <w:tab/>
        <w:t>Koch CG</w:t>
      </w:r>
      <w:r w:rsidRPr="00C169DB">
        <w:rPr>
          <w:rFonts w:ascii="Courier New" w:hAnsi="Courier New" w:cs="Courier New"/>
          <w:noProof/>
          <w:sz w:val="22"/>
        </w:rPr>
        <w:t> </w:t>
      </w:r>
      <w:r w:rsidRPr="00C169DB">
        <w:rPr>
          <w:rFonts w:ascii="TitilliumText25L" w:hAnsi="TitilliumText25L" w:cs="Calibri"/>
          <w:noProof/>
          <w:sz w:val="22"/>
        </w:rPr>
        <w:t xml:space="preserve"> Duncan AI et al, L. L. Morbidity and mortality risk associated with red blood cell and blood-component transfusion in isolated coronary artery bypass grafting. </w:t>
      </w:r>
      <w:r w:rsidRPr="00C169DB">
        <w:rPr>
          <w:rFonts w:ascii="TitilliumText25L" w:hAnsi="TitilliumText25L" w:cs="Calibri"/>
          <w:iCs/>
          <w:noProof/>
          <w:sz w:val="22"/>
        </w:rPr>
        <w:t>Crit Care Med 2006</w:t>
      </w:r>
      <w:r w:rsidRPr="00C169DB">
        <w:rPr>
          <w:rFonts w:ascii="TitilliumText25L" w:hAnsi="TitilliumText25L" w:cs="Calibri"/>
          <w:noProof/>
          <w:sz w:val="22"/>
        </w:rPr>
        <w:t xml:space="preserve"> </w:t>
      </w:r>
      <w:r w:rsidRPr="00C169DB">
        <w:rPr>
          <w:rFonts w:ascii="TitilliumText25L" w:hAnsi="TitilliumText25L" w:cs="Calibri"/>
          <w:b/>
          <w:bCs/>
          <w:noProof/>
          <w:sz w:val="22"/>
        </w:rPr>
        <w:t>34</w:t>
      </w:r>
      <w:r w:rsidRPr="00C169DB">
        <w:rPr>
          <w:rFonts w:ascii="TitilliumText25L" w:hAnsi="TitilliumText25L" w:cs="Calibri"/>
          <w:noProof/>
          <w:sz w:val="22"/>
        </w:rPr>
        <w:t>, 1608–1616 (2006).</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13.</w:t>
      </w:r>
      <w:r w:rsidRPr="00C169DB">
        <w:rPr>
          <w:rFonts w:ascii="TitilliumText25L" w:hAnsi="TitilliumText25L" w:cs="Calibri"/>
          <w:noProof/>
          <w:sz w:val="22"/>
        </w:rPr>
        <w:tab/>
        <w:t xml:space="preserve">Hajjar LA Vincent JL et al. Transfusion requirements after cardiac surgery: the TRACS randomised controlled trial. </w:t>
      </w:r>
      <w:r w:rsidRPr="00C169DB">
        <w:rPr>
          <w:rFonts w:ascii="TitilliumText25L" w:hAnsi="TitilliumText25L" w:cs="Calibri"/>
          <w:iCs/>
          <w:noProof/>
          <w:sz w:val="22"/>
        </w:rPr>
        <w:t>JAMA - Journal of the American Medical Association</w:t>
      </w:r>
      <w:r w:rsidRPr="00C169DB">
        <w:rPr>
          <w:rFonts w:ascii="TitilliumText25L" w:hAnsi="TitilliumText25L" w:cs="Calibri"/>
          <w:noProof/>
          <w:sz w:val="22"/>
        </w:rPr>
        <w:t xml:space="preserve"> </w:t>
      </w:r>
      <w:r w:rsidRPr="00C169DB">
        <w:rPr>
          <w:rFonts w:ascii="TitilliumText25L" w:hAnsi="TitilliumText25L" w:cs="Calibri"/>
          <w:b/>
          <w:bCs/>
          <w:noProof/>
          <w:sz w:val="22"/>
        </w:rPr>
        <w:t>304</w:t>
      </w:r>
      <w:r w:rsidRPr="00C169DB">
        <w:rPr>
          <w:rFonts w:ascii="TitilliumText25L" w:hAnsi="TitilliumText25L" w:cs="Calibri"/>
          <w:noProof/>
          <w:sz w:val="22"/>
        </w:rPr>
        <w:t>, 304:1559–1567</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14.</w:t>
      </w:r>
      <w:r w:rsidRPr="00C169DB">
        <w:rPr>
          <w:rFonts w:ascii="TitilliumText25L" w:hAnsi="TitilliumText25L" w:cs="Calibri"/>
          <w:noProof/>
          <w:sz w:val="22"/>
        </w:rPr>
        <w:tab/>
        <w:t xml:space="preserve">Australian Commission on Safety and Quality in Healthcare </w:t>
      </w:r>
      <w:r w:rsidRPr="00C169DB">
        <w:rPr>
          <w:rFonts w:ascii="TitilliumText25L" w:hAnsi="TitilliumText25L" w:cs="Calibri"/>
          <w:iCs/>
          <w:noProof/>
          <w:sz w:val="22"/>
        </w:rPr>
        <w:t>Safety and Quality Improvement Guide Standard 7: Blood and Blood Products</w:t>
      </w:r>
      <w:r w:rsidRPr="00C169DB">
        <w:rPr>
          <w:rFonts w:ascii="TitilliumText25L" w:hAnsi="TitilliumText25L" w:cs="Calibri"/>
          <w:noProof/>
          <w:sz w:val="22"/>
        </w:rPr>
        <w:t xml:space="preserve">. </w:t>
      </w:r>
      <w:r w:rsidRPr="00C169DB">
        <w:rPr>
          <w:rFonts w:ascii="TitilliumText25L" w:hAnsi="TitilliumText25L" w:cs="Calibri"/>
          <w:iCs/>
          <w:noProof/>
          <w:sz w:val="22"/>
        </w:rPr>
        <w:t>ACSQHC</w:t>
      </w:r>
      <w:r w:rsidRPr="00C169DB">
        <w:rPr>
          <w:rFonts w:ascii="TitilliumText25L" w:hAnsi="TitilliumText25L" w:cs="Calibri"/>
          <w:noProof/>
          <w:sz w:val="22"/>
        </w:rPr>
        <w:t xml:space="preserve"> (2012).at &lt;</w:t>
      </w:r>
      <w:hyperlink r:id="rId42" w:history="1">
        <w:r w:rsidRPr="00C169DB">
          <w:rPr>
            <w:rStyle w:val="Hyperlink"/>
            <w:rFonts w:ascii="TitilliumText25L" w:hAnsi="TitilliumText25L" w:cs="Calibri"/>
            <w:noProof/>
            <w:sz w:val="22"/>
          </w:rPr>
          <w:t>http://www.safetyandquality.gov.au/wp-content/uploads/2012/10/Standard7_Oct_2012_WEB.pdf</w:t>
        </w:r>
      </w:hyperlink>
      <w:r w:rsidRPr="00C169DB">
        <w:rPr>
          <w:rFonts w:ascii="TitilliumText25L" w:hAnsi="TitilliumText25L" w:cs="Calibri"/>
          <w:noProof/>
          <w:sz w:val="22"/>
        </w:rPr>
        <w:t>&gt;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15.</w:t>
      </w:r>
      <w:r w:rsidRPr="00C169DB">
        <w:rPr>
          <w:rFonts w:ascii="TitilliumText25L" w:hAnsi="TitilliumText25L" w:cs="Calibri"/>
          <w:noProof/>
          <w:sz w:val="22"/>
        </w:rPr>
        <w:tab/>
        <w:t>The British Committee for Standards in Haematology Guidelines on the Administration of Blood Components. Addendum to Administration of Blood Components, August 2012. 1–4 (2012).at &lt;</w:t>
      </w:r>
      <w:hyperlink r:id="rId43" w:history="1">
        <w:r w:rsidRPr="00C169DB">
          <w:rPr>
            <w:rStyle w:val="Hyperlink"/>
            <w:rFonts w:ascii="TitilliumText25L" w:hAnsi="TitilliumText25L" w:cs="Calibri"/>
            <w:noProof/>
            <w:sz w:val="22"/>
          </w:rPr>
          <w:t>http://www.bcshguidelines.com/documents/BCSH_Blood_Admin_-_addendum_August_2012.pdf</w:t>
        </w:r>
      </w:hyperlink>
      <w:r w:rsidRPr="00C169DB">
        <w:rPr>
          <w:rFonts w:ascii="TitilliumText25L" w:hAnsi="TitilliumText25L" w:cs="Calibri"/>
          <w:noProof/>
          <w:sz w:val="22"/>
        </w:rPr>
        <w:t xml:space="preserve"> &gt;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16.</w:t>
      </w:r>
      <w:r w:rsidRPr="00C169DB">
        <w:rPr>
          <w:rFonts w:ascii="TitilliumText25L" w:hAnsi="TitilliumText25L" w:cs="Calibri"/>
          <w:noProof/>
          <w:sz w:val="22"/>
        </w:rPr>
        <w:tab/>
        <w:t xml:space="preserve">Hofmann, A., Farmer, S. &amp; Shander, A. Five drivers shifting the paradigm from product-focused transfusion practice to patient blood management. </w:t>
      </w:r>
      <w:r w:rsidRPr="00C169DB">
        <w:rPr>
          <w:rFonts w:ascii="TitilliumText25L" w:hAnsi="TitilliumText25L" w:cs="Calibri"/>
          <w:iCs/>
          <w:noProof/>
          <w:sz w:val="22"/>
        </w:rPr>
        <w:t>The oncologist</w:t>
      </w:r>
      <w:r w:rsidRPr="00C169DB">
        <w:rPr>
          <w:rFonts w:ascii="TitilliumText25L" w:hAnsi="TitilliumText25L" w:cs="Calibri"/>
          <w:noProof/>
          <w:sz w:val="22"/>
        </w:rPr>
        <w:t xml:space="preserve"> </w:t>
      </w:r>
      <w:r w:rsidRPr="00C169DB">
        <w:rPr>
          <w:rFonts w:ascii="TitilliumText25L" w:hAnsi="TitilliumText25L" w:cs="Calibri"/>
          <w:b/>
          <w:bCs/>
          <w:noProof/>
          <w:sz w:val="22"/>
        </w:rPr>
        <w:t>16 Suppl 3</w:t>
      </w:r>
      <w:r w:rsidRPr="00C169DB">
        <w:rPr>
          <w:rFonts w:ascii="TitilliumText25L" w:hAnsi="TitilliumText25L" w:cs="Calibri"/>
          <w:noProof/>
          <w:sz w:val="22"/>
        </w:rPr>
        <w:t>, 3–11 (2011).</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17.</w:t>
      </w:r>
      <w:r w:rsidRPr="00C169DB">
        <w:rPr>
          <w:rFonts w:ascii="TitilliumText25L" w:hAnsi="TitilliumText25L" w:cs="Calibri"/>
          <w:noProof/>
          <w:sz w:val="22"/>
        </w:rPr>
        <w:tab/>
        <w:t xml:space="preserve">Pasricha, S.-R. </w:t>
      </w:r>
      <w:r w:rsidRPr="00C169DB">
        <w:rPr>
          <w:rFonts w:ascii="TitilliumText25L" w:hAnsi="TitilliumText25L" w:cs="Calibri"/>
          <w:iCs/>
          <w:noProof/>
          <w:sz w:val="22"/>
        </w:rPr>
        <w:t>et al.</w:t>
      </w:r>
      <w:r w:rsidRPr="00C169DB">
        <w:rPr>
          <w:rFonts w:ascii="TitilliumText25L" w:hAnsi="TitilliumText25L" w:cs="Calibri"/>
          <w:noProof/>
          <w:sz w:val="22"/>
        </w:rPr>
        <w:t xml:space="preserve"> Diagnosis and management of iron deficiency anaemia: a clinical update. </w:t>
      </w:r>
      <w:r w:rsidRPr="00C169DB">
        <w:rPr>
          <w:rFonts w:ascii="TitilliumText25L" w:hAnsi="TitilliumText25L" w:cs="Calibri"/>
          <w:iCs/>
          <w:noProof/>
          <w:sz w:val="22"/>
        </w:rPr>
        <w:t>Med J Aust</w:t>
      </w:r>
      <w:r w:rsidRPr="00C169DB">
        <w:rPr>
          <w:rFonts w:ascii="TitilliumText25L" w:hAnsi="TitilliumText25L" w:cs="Calibri"/>
          <w:noProof/>
          <w:sz w:val="22"/>
        </w:rPr>
        <w:t xml:space="preserve"> </w:t>
      </w:r>
      <w:r w:rsidRPr="00C169DB">
        <w:rPr>
          <w:rFonts w:ascii="TitilliumText25L" w:hAnsi="TitilliumText25L" w:cs="Calibri"/>
          <w:b/>
          <w:bCs/>
          <w:noProof/>
          <w:sz w:val="22"/>
        </w:rPr>
        <w:t>198</w:t>
      </w:r>
      <w:r w:rsidRPr="00C169DB">
        <w:rPr>
          <w:rFonts w:ascii="TitilliumText25L" w:hAnsi="TitilliumText25L" w:cs="Calibri"/>
          <w:noProof/>
          <w:sz w:val="22"/>
        </w:rPr>
        <w:t>, 525–532 (2010).</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18.</w:t>
      </w:r>
      <w:r w:rsidRPr="00C169DB">
        <w:rPr>
          <w:rFonts w:ascii="TitilliumText25L" w:hAnsi="TitilliumText25L" w:cs="Calibri"/>
          <w:noProof/>
          <w:sz w:val="22"/>
        </w:rPr>
        <w:tab/>
        <w:t>Western Australia Government Single Unit Rule: A Quick Start Guide to Transfusion Reduction. (2012).at &lt;</w:t>
      </w:r>
      <w:hyperlink r:id="rId44" w:history="1">
        <w:r w:rsidRPr="00C169DB">
          <w:rPr>
            <w:rStyle w:val="Hyperlink"/>
            <w:rFonts w:ascii="TitilliumText25L" w:hAnsi="TitilliumText25L" w:cs="Calibri"/>
            <w:noProof/>
            <w:sz w:val="22"/>
          </w:rPr>
          <w:t>http://www.health.wa.gov.au/bloodmanagement/docs/Single Unit Rule.pdf</w:t>
        </w:r>
      </w:hyperlink>
      <w:r w:rsidRPr="00C169DB">
        <w:rPr>
          <w:rFonts w:ascii="TitilliumText25L" w:hAnsi="TitilliumText25L" w:cs="Calibri"/>
          <w:noProof/>
          <w:sz w:val="22"/>
        </w:rPr>
        <w:t>&gt;</w:t>
      </w:r>
    </w:p>
    <w:p w:rsidR="00056C53" w:rsidRPr="00C169DB" w:rsidRDefault="00056C53" w:rsidP="00056C53">
      <w:pPr>
        <w:pStyle w:val="NormalWeb"/>
        <w:spacing w:before="0" w:beforeAutospacing="0" w:after="0" w:afterAutospacing="0"/>
        <w:ind w:left="641" w:hanging="641"/>
        <w:rPr>
          <w:rFonts w:ascii="TitilliumText25L" w:hAnsi="TitilliumText25L" w:cs="Calibri"/>
          <w:noProof/>
          <w:sz w:val="22"/>
        </w:rPr>
      </w:pPr>
      <w:r w:rsidRPr="00C169DB">
        <w:rPr>
          <w:rFonts w:ascii="TitilliumText25L" w:hAnsi="TitilliumText25L" w:cs="Calibri"/>
          <w:noProof/>
          <w:sz w:val="22"/>
        </w:rPr>
        <w:t>19.</w:t>
      </w:r>
      <w:r w:rsidRPr="00C169DB">
        <w:rPr>
          <w:rFonts w:ascii="TitilliumText25L" w:hAnsi="TitilliumText25L" w:cs="Calibri"/>
          <w:noProof/>
          <w:sz w:val="22"/>
        </w:rPr>
        <w:tab/>
        <w:t xml:space="preserve">Australian Red Cross blood Service iTransfuseFact Sheet, all about blood: Single Unit Red Blood Cell Transfusion. </w:t>
      </w:r>
      <w:r w:rsidRPr="00C169DB">
        <w:rPr>
          <w:rFonts w:ascii="TitilliumText25L" w:hAnsi="TitilliumText25L" w:cs="Calibri"/>
          <w:iCs/>
          <w:noProof/>
          <w:sz w:val="22"/>
        </w:rPr>
        <w:t>iTransfuse Fact Sheet</w:t>
      </w:r>
      <w:r w:rsidRPr="00C169DB">
        <w:rPr>
          <w:rFonts w:ascii="TitilliumText25L" w:hAnsi="TitilliumText25L" w:cs="Calibri"/>
          <w:noProof/>
          <w:sz w:val="22"/>
        </w:rPr>
        <w:t xml:space="preserve"> 1 (2012).at &lt;</w:t>
      </w:r>
      <w:hyperlink r:id="rId45" w:history="1">
        <w:r w:rsidRPr="00C169DB">
          <w:rPr>
            <w:rStyle w:val="Hyperlink"/>
            <w:rFonts w:ascii="TitilliumText25L" w:hAnsi="TitilliumText25L" w:cs="Calibri"/>
            <w:noProof/>
            <w:sz w:val="22"/>
          </w:rPr>
          <w:t>http://www.transfusion.com.au/sites/default/files/iTransfuse-FS-Vol4No9-Single-unit-red-blood-cell-transfusion-Published_0.pdf</w:t>
        </w:r>
      </w:hyperlink>
      <w:r w:rsidRPr="00C169DB">
        <w:rPr>
          <w:rFonts w:ascii="TitilliumText25L" w:hAnsi="TitilliumText25L" w:cs="Calibri"/>
          <w:noProof/>
          <w:sz w:val="22"/>
        </w:rPr>
        <w:t xml:space="preserve"> &gt;</w:t>
      </w:r>
    </w:p>
    <w:p w:rsidR="008324D5" w:rsidRPr="00C169DB" w:rsidRDefault="00056C53" w:rsidP="00056C53">
      <w:pPr>
        <w:rPr>
          <w:rFonts w:ascii="TitilliumText25L" w:hAnsi="TitilliumText25L"/>
          <w:lang w:val="en-GB"/>
        </w:rPr>
        <w:sectPr w:rsidR="008324D5" w:rsidRPr="00C169DB" w:rsidSect="00E76F34">
          <w:headerReference w:type="even" r:id="rId46"/>
          <w:headerReference w:type="default" r:id="rId47"/>
          <w:footerReference w:type="default" r:id="rId48"/>
          <w:headerReference w:type="first" r:id="rId49"/>
          <w:footnotePr>
            <w:numFmt w:val="lowerLetter"/>
          </w:footnotePr>
          <w:pgSz w:w="11906" w:h="16838"/>
          <w:pgMar w:top="1560" w:right="1133" w:bottom="993" w:left="1440" w:header="708" w:footer="833" w:gutter="0"/>
          <w:cols w:space="708"/>
          <w:titlePg/>
          <w:docGrid w:linePitch="360"/>
        </w:sectPr>
      </w:pPr>
      <w:r w:rsidRPr="00C169DB">
        <w:rPr>
          <w:rFonts w:ascii="TitilliumText25L" w:hAnsi="TitilliumText25L"/>
          <w:noProof/>
        </w:rPr>
        <w:t>20.</w:t>
      </w:r>
      <w:r w:rsidRPr="00C169DB">
        <w:rPr>
          <w:rFonts w:ascii="TitilliumText25L" w:hAnsi="TitilliumText25L"/>
          <w:noProof/>
        </w:rPr>
        <w:tab/>
        <w:t xml:space="preserve">Australian Red Cross Blood Service iTransfuse Fact Sheet, all about blood: I need to know about Patient Blood Management. </w:t>
      </w:r>
      <w:r w:rsidRPr="00C169DB">
        <w:rPr>
          <w:rFonts w:ascii="TitilliumText25L" w:hAnsi="TitilliumText25L"/>
          <w:iCs/>
          <w:noProof/>
        </w:rPr>
        <w:t>iTransfuse Fact Sheet</w:t>
      </w:r>
      <w:r w:rsidRPr="00C169DB">
        <w:rPr>
          <w:rFonts w:ascii="TitilliumText25L" w:hAnsi="TitilliumText25L"/>
          <w:noProof/>
        </w:rPr>
        <w:t xml:space="preserve"> 1 (2012).at &lt;</w:t>
      </w:r>
      <w:hyperlink r:id="rId50" w:history="1">
        <w:r w:rsidRPr="00C169DB">
          <w:rPr>
            <w:rStyle w:val="Hyperlink"/>
            <w:rFonts w:ascii="TitilliumText25L" w:hAnsi="TitilliumText25L"/>
            <w:noProof/>
          </w:rPr>
          <w:t>http://www.transfusion.com.au/sites/default/files/iTransfuse-FS-Vol4No3-I-Need-To-Know-About-Patient-Blood-Management-Published.pdf</w:t>
        </w:r>
      </w:hyperlink>
      <w:r w:rsidRPr="00C169DB">
        <w:rPr>
          <w:rFonts w:ascii="TitilliumText25L" w:hAnsi="TitilliumText25L"/>
          <w:noProof/>
        </w:rPr>
        <w:t>&gt;</w:t>
      </w:r>
    </w:p>
    <w:p w:rsidR="00D34CAB" w:rsidRPr="00C169DB" w:rsidRDefault="003B06B3" w:rsidP="00D34CAB">
      <w:pPr>
        <w:pStyle w:val="Heading1"/>
        <w:rPr>
          <w:rFonts w:ascii="TitilliumText25L" w:hAnsi="TitilliumText25L"/>
        </w:rPr>
      </w:pPr>
      <w:bookmarkStart w:id="15" w:name="_Toc390423663"/>
      <w:r w:rsidRPr="00C169DB">
        <w:rPr>
          <w:rFonts w:ascii="TitilliumText25L" w:hAnsi="TitilliumText25L"/>
        </w:rPr>
        <w:t>Appendix 2:</w:t>
      </w:r>
      <w:r w:rsidRPr="00C169DB">
        <w:rPr>
          <w:rFonts w:ascii="TitilliumText25L" w:hAnsi="TitilliumText25L"/>
        </w:rPr>
        <w:tab/>
      </w:r>
      <w:r w:rsidR="00D34CAB" w:rsidRPr="00C169DB">
        <w:rPr>
          <w:rFonts w:ascii="TitilliumText25L" w:hAnsi="TitilliumText25L"/>
        </w:rPr>
        <w:t>Considerations and guidance for implementation of single unit transfusion</w:t>
      </w:r>
      <w:bookmarkEnd w:id="15"/>
      <w:r w:rsidR="00D34CAB" w:rsidRPr="00C169DB">
        <w:rPr>
          <w:rFonts w:ascii="TitilliumText25L" w:hAnsi="TitilliumText25L"/>
        </w:rPr>
        <w:t xml:space="preserve"> </w:t>
      </w:r>
    </w:p>
    <w:p w:rsidR="009A6D55" w:rsidRPr="00C169DB" w:rsidRDefault="009A6D55" w:rsidP="0084269D">
      <w:pPr>
        <w:rPr>
          <w:rFonts w:ascii="TitilliumText25L" w:hAnsi="TitilliumText25L" w:cs="Arial"/>
          <w:color w:val="C00000"/>
          <w:sz w:val="28"/>
          <w:szCs w:val="28"/>
        </w:rPr>
      </w:pPr>
    </w:p>
    <w:p w:rsidR="009A6D55" w:rsidRPr="00C169DB" w:rsidRDefault="009A6D55" w:rsidP="0084269D">
      <w:pPr>
        <w:rPr>
          <w:rFonts w:ascii="TitilliumText25L" w:hAnsi="TitilliumText25L" w:cs="Arial"/>
          <w:color w:val="C00000"/>
          <w:sz w:val="28"/>
          <w:szCs w:val="28"/>
        </w:rPr>
      </w:pPr>
    </w:p>
    <w:p w:rsidR="00601436" w:rsidRDefault="00D34CAB" w:rsidP="0084269D">
      <w:pPr>
        <w:rPr>
          <w:rFonts w:ascii="TitilliumText25L" w:hAnsi="TitilliumText25L" w:cs="Arial"/>
          <w:color w:val="C00000"/>
          <w:sz w:val="28"/>
          <w:szCs w:val="28"/>
        </w:rPr>
      </w:pPr>
      <w:r w:rsidRPr="00C169DB">
        <w:rPr>
          <w:rFonts w:ascii="TitilliumText25L" w:hAnsi="TitilliumText25L" w:cs="Arial"/>
          <w:color w:val="C00000"/>
          <w:sz w:val="28"/>
          <w:szCs w:val="28"/>
        </w:rPr>
        <w:t>Supporting material for key champions within hospitals to present to relevant hospital governance committees seeking agreement to a single unit transfusion guideline and its implementation</w:t>
      </w:r>
    </w:p>
    <w:p w:rsidR="00D02BD6" w:rsidRPr="00C169DB" w:rsidRDefault="00D02BD6" w:rsidP="0084269D">
      <w:pPr>
        <w:rPr>
          <w:rFonts w:ascii="TitilliumText25L" w:hAnsi="TitilliumText25L" w:cs="Arial"/>
          <w:color w:val="C00000"/>
          <w:sz w:val="28"/>
          <w:szCs w:val="28"/>
        </w:rPr>
      </w:pPr>
    </w:p>
    <w:p w:rsidR="00D02BD6" w:rsidRPr="00C169DB" w:rsidRDefault="00D02BD6" w:rsidP="00D02BD6">
      <w:pPr>
        <w:spacing w:after="120"/>
        <w:rPr>
          <w:rFonts w:ascii="TitilliumText25L" w:eastAsiaTheme="minorHAnsi" w:hAnsi="TitilliumText25L" w:cs="Arial"/>
          <w:color w:val="C60C30"/>
          <w:sz w:val="32"/>
          <w:szCs w:val="32"/>
        </w:rPr>
      </w:pPr>
      <w:r w:rsidRPr="00C169DB">
        <w:rPr>
          <w:rStyle w:val="Heading4Char"/>
          <w:rFonts w:ascii="TitilliumText25L" w:hAnsi="TitilliumText25L"/>
          <w:color w:val="C60C30"/>
          <w:sz w:val="32"/>
          <w:szCs w:val="32"/>
        </w:rPr>
        <w:t>Key Champions</w:t>
      </w:r>
      <w:r w:rsidRPr="00C169DB">
        <w:rPr>
          <w:rFonts w:ascii="TitilliumText25L" w:eastAsiaTheme="minorHAnsi" w:hAnsi="TitilliumText25L" w:cs="Arial"/>
          <w:color w:val="C60C30"/>
          <w:sz w:val="32"/>
          <w:szCs w:val="32"/>
        </w:rPr>
        <w:t xml:space="preserve"> </w:t>
      </w:r>
    </w:p>
    <w:p w:rsidR="00D02BD6" w:rsidRPr="00C169DB" w:rsidRDefault="00D02BD6" w:rsidP="00D02BD6">
      <w:pPr>
        <w:spacing w:after="120"/>
        <w:rPr>
          <w:rFonts w:ascii="TitilliumText25L" w:eastAsiaTheme="minorHAnsi" w:hAnsi="TitilliumText25L" w:cstheme="minorHAnsi"/>
        </w:rPr>
      </w:pPr>
      <w:r w:rsidRPr="00C169DB">
        <w:rPr>
          <w:rFonts w:ascii="TitilliumText25L" w:eastAsiaTheme="minorHAnsi" w:hAnsi="TitilliumText25L" w:cstheme="minorHAnsi"/>
        </w:rPr>
        <w:t>Director Medical Service/Clinical Operations, Director of Nursing, Director Clinical Governance, Patient Safety/Quality Managers, Blood Management Medical and Nursing staff</w:t>
      </w:r>
    </w:p>
    <w:p w:rsidR="00D02BD6" w:rsidRPr="00C169DB" w:rsidRDefault="00D02BD6" w:rsidP="00D02BD6">
      <w:pPr>
        <w:spacing w:after="120"/>
        <w:rPr>
          <w:rFonts w:ascii="TitilliumText25L" w:eastAsiaTheme="minorHAnsi" w:hAnsi="TitilliumText25L" w:cstheme="minorHAnsi"/>
        </w:rPr>
      </w:pPr>
      <w:r w:rsidRPr="00C169DB">
        <w:rPr>
          <w:rFonts w:ascii="TitilliumText25L" w:eastAsiaTheme="minorHAnsi" w:hAnsi="TitilliumText25L" w:cstheme="minorHAnsi"/>
        </w:rPr>
        <w:t>Consider senior medical clinicians from: Haematology, Anaesthetics, Surgery, Renal, Oncology, Intensive care.</w:t>
      </w:r>
    </w:p>
    <w:p w:rsidR="00D02BD6" w:rsidRPr="00C169DB" w:rsidRDefault="00D02BD6" w:rsidP="00D02BD6">
      <w:pPr>
        <w:spacing w:after="120"/>
        <w:rPr>
          <w:rFonts w:ascii="TitilliumText25L" w:eastAsiaTheme="minorHAnsi" w:hAnsi="TitilliumText25L" w:cstheme="minorHAnsi"/>
        </w:rPr>
      </w:pPr>
      <w:r w:rsidRPr="00C169DB">
        <w:rPr>
          <w:rFonts w:ascii="TitilliumText25L" w:eastAsiaTheme="minorHAnsi" w:hAnsi="TitilliumText25L" w:cstheme="minorHAnsi"/>
        </w:rPr>
        <w:t>Chair of Transfusion Governance Committee / Patient Blood Management Committee</w:t>
      </w:r>
    </w:p>
    <w:p w:rsidR="00D02BD6" w:rsidRPr="00C169DB" w:rsidRDefault="00D02BD6" w:rsidP="00D02BD6">
      <w:pPr>
        <w:spacing w:after="120"/>
        <w:rPr>
          <w:rStyle w:val="Heading4Char"/>
          <w:rFonts w:ascii="TitilliumText25L" w:hAnsi="TitilliumText25L"/>
          <w:color w:val="C60C30"/>
          <w:sz w:val="32"/>
          <w:szCs w:val="32"/>
        </w:rPr>
      </w:pPr>
    </w:p>
    <w:p w:rsidR="00D02BD6" w:rsidRPr="00C169DB" w:rsidRDefault="00D02BD6" w:rsidP="00D02BD6">
      <w:pPr>
        <w:spacing w:after="120"/>
        <w:rPr>
          <w:rFonts w:ascii="TitilliumText25L" w:eastAsiaTheme="minorHAnsi" w:hAnsi="TitilliumText25L" w:cs="Arial"/>
          <w:color w:val="C60C30"/>
          <w:sz w:val="32"/>
          <w:szCs w:val="32"/>
        </w:rPr>
      </w:pPr>
      <w:r w:rsidRPr="00C169DB">
        <w:rPr>
          <w:rStyle w:val="Heading4Char"/>
          <w:rFonts w:ascii="TitilliumText25L" w:hAnsi="TitilliumText25L"/>
          <w:color w:val="C60C30"/>
          <w:sz w:val="32"/>
          <w:szCs w:val="32"/>
        </w:rPr>
        <w:t>Hospital Governance committees</w:t>
      </w:r>
      <w:r w:rsidRPr="00C169DB">
        <w:rPr>
          <w:rFonts w:ascii="TitilliumText25L" w:eastAsiaTheme="minorHAnsi" w:hAnsi="TitilliumText25L" w:cs="Arial"/>
          <w:color w:val="C60C30"/>
          <w:sz w:val="32"/>
          <w:szCs w:val="32"/>
        </w:rPr>
        <w:t xml:space="preserve"> </w:t>
      </w:r>
    </w:p>
    <w:p w:rsidR="00D02BD6" w:rsidRPr="00C169DB" w:rsidRDefault="00D02BD6" w:rsidP="00D02BD6">
      <w:pPr>
        <w:spacing w:after="120"/>
        <w:rPr>
          <w:rFonts w:ascii="TitilliumText25L" w:eastAsiaTheme="minorHAnsi" w:hAnsi="TitilliumText25L" w:cstheme="minorHAnsi"/>
        </w:rPr>
      </w:pPr>
      <w:r w:rsidRPr="00C169DB">
        <w:rPr>
          <w:rFonts w:ascii="TitilliumText25L" w:eastAsiaTheme="minorHAnsi" w:hAnsi="TitilliumText25L" w:cstheme="minorHAnsi"/>
        </w:rPr>
        <w:t>Clinical Governance, Policy and Procedure directors, CEOs, Hospital Boards / Directors / Executive, Quality Systems management</w:t>
      </w:r>
    </w:p>
    <w:p w:rsidR="00601436" w:rsidRPr="00C169DB" w:rsidRDefault="00601436">
      <w:pPr>
        <w:rPr>
          <w:rFonts w:ascii="TitilliumText25L" w:hAnsi="TitilliumText25L" w:cs="Arial"/>
          <w:color w:val="C00000"/>
          <w:sz w:val="28"/>
          <w:szCs w:val="28"/>
        </w:rPr>
      </w:pPr>
      <w:r w:rsidRPr="00C169DB">
        <w:rPr>
          <w:rFonts w:ascii="TitilliumText25L" w:hAnsi="TitilliumText25L" w:cs="Arial"/>
          <w:color w:val="C00000"/>
          <w:sz w:val="28"/>
          <w:szCs w:val="28"/>
        </w:rPr>
        <w:br w:type="page"/>
      </w:r>
    </w:p>
    <w:p w:rsidR="00D34CAB" w:rsidRPr="00C169DB" w:rsidRDefault="00D34CAB" w:rsidP="00422867">
      <w:pPr>
        <w:pStyle w:val="Heading4"/>
        <w:spacing w:after="240"/>
        <w:rPr>
          <w:rFonts w:ascii="TitilliumText25L" w:hAnsi="TitilliumText25L"/>
          <w:color w:val="C60C30"/>
          <w:sz w:val="32"/>
          <w:szCs w:val="32"/>
        </w:rPr>
      </w:pPr>
      <w:r w:rsidRPr="00C169DB">
        <w:rPr>
          <w:rFonts w:ascii="TitilliumText25L" w:hAnsi="TitilliumText25L"/>
          <w:color w:val="C60C30"/>
          <w:sz w:val="32"/>
          <w:szCs w:val="32"/>
        </w:rPr>
        <w:t>OUTLINE:</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Introduction</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Implementation Plan</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Resources required</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Plan for monitoring and tracking compliance / success</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 xml:space="preserve">Examples of promotional material </w:t>
      </w:r>
    </w:p>
    <w:p w:rsidR="00D34CAB" w:rsidRPr="00C169DB" w:rsidRDefault="00D34CAB" w:rsidP="00422867">
      <w:pPr>
        <w:numPr>
          <w:ilvl w:val="0"/>
          <w:numId w:val="26"/>
        </w:numPr>
        <w:spacing w:after="240" w:line="480" w:lineRule="auto"/>
        <w:ind w:left="357" w:hanging="357"/>
        <w:contextualSpacing/>
        <w:rPr>
          <w:rFonts w:ascii="TitilliumText25L" w:eastAsiaTheme="minorHAnsi" w:hAnsi="TitilliumText25L" w:cstheme="minorHAnsi"/>
        </w:rPr>
      </w:pPr>
      <w:r w:rsidRPr="00C169DB">
        <w:rPr>
          <w:rFonts w:ascii="TitilliumText25L" w:eastAsiaTheme="minorHAnsi" w:hAnsi="TitilliumText25L" w:cstheme="minorHAnsi"/>
        </w:rPr>
        <w:t>Other successful Programs</w:t>
      </w:r>
    </w:p>
    <w:p w:rsidR="00D34CAB" w:rsidRPr="00C169DB" w:rsidRDefault="00D34CAB" w:rsidP="00422867">
      <w:pPr>
        <w:spacing w:after="240" w:line="480" w:lineRule="auto"/>
        <w:ind w:left="1080"/>
        <w:contextualSpacing/>
        <w:rPr>
          <w:rFonts w:ascii="TitilliumText25L" w:eastAsiaTheme="minorHAnsi" w:hAnsi="TitilliumText25L" w:cs="Arial"/>
        </w:rPr>
      </w:pPr>
      <w:r w:rsidRPr="00C169DB">
        <w:rPr>
          <w:rFonts w:ascii="TitilliumText25L" w:eastAsiaTheme="minorHAnsi" w:hAnsi="TitilliumText25L" w:cs="Arial"/>
        </w:rPr>
        <w:br w:type="page"/>
      </w:r>
    </w:p>
    <w:p w:rsidR="00D34CAB" w:rsidRPr="00C169DB" w:rsidRDefault="00D34CAB" w:rsidP="00D34CAB">
      <w:pPr>
        <w:pStyle w:val="Heading4"/>
        <w:numPr>
          <w:ilvl w:val="0"/>
          <w:numId w:val="17"/>
        </w:numPr>
        <w:rPr>
          <w:rFonts w:ascii="TitilliumText25L" w:hAnsi="TitilliumText25L"/>
          <w:color w:val="C60C30"/>
          <w:sz w:val="32"/>
          <w:szCs w:val="32"/>
        </w:rPr>
      </w:pPr>
      <w:r w:rsidRPr="00C169DB">
        <w:rPr>
          <w:rFonts w:ascii="TitilliumText25L" w:hAnsi="TitilliumText25L"/>
          <w:color w:val="C60C30"/>
          <w:sz w:val="32"/>
          <w:szCs w:val="32"/>
        </w:rPr>
        <w:t>Introduction</w:t>
      </w:r>
    </w:p>
    <w:p w:rsidR="00D34CAB" w:rsidRPr="00C169DB" w:rsidRDefault="00D34CAB" w:rsidP="00D34CAB">
      <w:pPr>
        <w:numPr>
          <w:ilvl w:val="0"/>
          <w:numId w:val="18"/>
        </w:numPr>
        <w:spacing w:after="120"/>
        <w:ind w:left="714" w:hanging="357"/>
        <w:rPr>
          <w:rFonts w:ascii="TitilliumText25L" w:eastAsiaTheme="minorHAnsi" w:hAnsi="TitilliumText25L" w:cstheme="minorHAnsi"/>
        </w:rPr>
      </w:pPr>
      <w:r w:rsidRPr="00C169DB">
        <w:rPr>
          <w:rFonts w:ascii="TitilliumText25L" w:eastAsiaTheme="minorHAnsi" w:hAnsi="TitilliumText25L" w:cstheme="minorHAnsi"/>
        </w:rPr>
        <w:t>Reasons modern health systems need to shift from product-focused transfusion practice to patient blood management.</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"DOI" : "10.1634/theoncologist.2011-S3-3", "abstract" : "The objective of this paper is to introduce clinicians and health care professionals to the concept of patient blood management (PBM) and to explain the difference between PBM and the concept of \"appropriate use\" of blood products. The five reasons why modern health systems need to shift from product-focused transfusion practice to PBM are also presented. These are: the aging population with a leveraged demand for blood products opposed to a shrinking donor base; the growing awareness that transfusion is a complex service involving many different cost centers within a hospital and representing a multiple of the blood product cost; the continuous effort to protect blood pools from known, new, or re-emerging pathogens while facing uncertainty over their potentially long silent carrier states; the emerging evidence that transfusion is an independent risk factor for adverse outcomes; and finally, a lack of evidence for benefit of transfusion for the vast majority of recipients.", "author" : [ { "dropping-particle" : "", "family" : "Hofmann", "given" : "Axel", "non-dropping-particle" : "", "parse-names" : false, "suffix" : "" }, { "dropping-particle" : "", "family" : "Farmer", "given" : "Shannon", "non-dropping-particle" : "", "parse-names" : false, "suffix" : "" }, { "dropping-particle" : "", "family" : "Shander", "given" : "Aryeh", "non-dropping-particle" : "", "parse-names" : false, "suffix" : "" } ], "container-title" : "The oncologist", "id" : "ITEM-1", "issued" : { "date-parts" : [ [ "2011" ] ] }, "page" : "3-11", "title" : "Five drivers shifting the paradigm from product-focused transfusion practice to patient blood management.", "type" : "article-journal", "volume" : "16 Suppl 3" }, "uris" : [ "http://www.mendeley.com/documents/?uuid=3a94e34c-9f7b-496c-af50-99a9cf529f48" ] } ], "mendeley" : { "previouslyFormattedCitation" : "&lt;sup&gt;1&lt;/sup&gt;"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1</w:t>
      </w:r>
      <w:r w:rsidRPr="00C169DB">
        <w:rPr>
          <w:rFonts w:ascii="TitilliumText25L" w:eastAsiaTheme="minorHAnsi" w:hAnsi="TitilliumText25L" w:cstheme="minorHAnsi"/>
        </w:rPr>
        <w:fldChar w:fldCharType="end"/>
      </w:r>
    </w:p>
    <w:p w:rsidR="00D34CAB" w:rsidRPr="00C169DB" w:rsidRDefault="00D34CAB" w:rsidP="00D34CAB">
      <w:pPr>
        <w:numPr>
          <w:ilvl w:val="2"/>
          <w:numId w:val="15"/>
        </w:numPr>
        <w:spacing w:after="120"/>
        <w:ind w:left="1440"/>
        <w:contextualSpacing/>
        <w:rPr>
          <w:rFonts w:ascii="TitilliumText25L" w:eastAsiaTheme="minorHAnsi" w:hAnsi="TitilliumText25L" w:cstheme="minorHAnsi"/>
        </w:rPr>
      </w:pPr>
      <w:r w:rsidRPr="00C169DB">
        <w:rPr>
          <w:rFonts w:ascii="TitilliumText25L" w:eastAsiaTheme="minorHAnsi" w:hAnsi="TitilliumText25L" w:cstheme="minorHAnsi"/>
        </w:rPr>
        <w:t>Patient blood management has been shown to be a more effective concept than “appropriate use” in pre-empting the need for blood components, reducing overall use, and improving patient outcomes.</w:t>
      </w:r>
    </w:p>
    <w:p w:rsidR="00D34CAB" w:rsidRPr="00C169DB" w:rsidRDefault="00D34CAB" w:rsidP="00D34CAB">
      <w:pPr>
        <w:numPr>
          <w:ilvl w:val="2"/>
          <w:numId w:val="15"/>
        </w:numPr>
        <w:spacing w:after="120"/>
        <w:ind w:left="1440"/>
        <w:contextualSpacing/>
        <w:rPr>
          <w:rFonts w:ascii="TitilliumText25L" w:eastAsiaTheme="minorHAnsi" w:hAnsi="TitilliumText25L" w:cstheme="minorHAnsi"/>
        </w:rPr>
      </w:pPr>
      <w:r w:rsidRPr="00C169DB">
        <w:rPr>
          <w:rFonts w:ascii="TitilliumText25L" w:eastAsiaTheme="minorHAnsi" w:hAnsi="TitilliumText25L" w:cstheme="minorHAnsi"/>
        </w:rPr>
        <w:t>The ageing population – increased demand for blood products and a reduced donor pool available.</w:t>
      </w:r>
    </w:p>
    <w:p w:rsidR="00D34CAB" w:rsidRPr="00C169DB" w:rsidRDefault="00D34CAB" w:rsidP="00D34CAB">
      <w:pPr>
        <w:numPr>
          <w:ilvl w:val="2"/>
          <w:numId w:val="15"/>
        </w:numPr>
        <w:spacing w:after="120"/>
        <w:ind w:left="1440"/>
        <w:contextualSpacing/>
        <w:rPr>
          <w:rFonts w:ascii="TitilliumText25L" w:eastAsiaTheme="minorHAnsi" w:hAnsi="TitilliumText25L" w:cstheme="minorHAnsi"/>
        </w:rPr>
      </w:pPr>
      <w:r w:rsidRPr="00C169DB">
        <w:rPr>
          <w:rFonts w:ascii="TitilliumText25L" w:eastAsiaTheme="minorHAnsi" w:hAnsi="TitilliumText25L" w:cstheme="minorHAnsi"/>
        </w:rPr>
        <w:t>Increasing pressure on the cost of red blood cell transfusion – there are many different costs in the provision of a unit of blood from collection to transfusion – the real cost is a multiple of the actual product cost.</w:t>
      </w:r>
    </w:p>
    <w:p w:rsidR="00D34CAB" w:rsidRPr="00C169DB" w:rsidRDefault="00D34CAB" w:rsidP="00D34CAB">
      <w:pPr>
        <w:numPr>
          <w:ilvl w:val="2"/>
          <w:numId w:val="15"/>
        </w:numPr>
        <w:spacing w:after="120"/>
        <w:ind w:left="1440"/>
        <w:contextualSpacing/>
        <w:rPr>
          <w:rFonts w:ascii="TitilliumText25L" w:eastAsiaTheme="minorHAnsi" w:hAnsi="TitilliumText25L" w:cstheme="minorHAnsi"/>
        </w:rPr>
      </w:pPr>
      <w:r w:rsidRPr="00C169DB">
        <w:rPr>
          <w:rFonts w:ascii="TitilliumText25L" w:eastAsiaTheme="minorHAnsi" w:hAnsi="TitilliumText25L" w:cstheme="minorHAnsi"/>
        </w:rPr>
        <w:t>The threat from known, new or re-emerging pathogens while facing uncertainty over their potentially long silent carrier states.</w:t>
      </w:r>
    </w:p>
    <w:p w:rsidR="00D34CAB" w:rsidRPr="00C169DB" w:rsidRDefault="00D34CAB" w:rsidP="00D34CAB">
      <w:pPr>
        <w:numPr>
          <w:ilvl w:val="2"/>
          <w:numId w:val="15"/>
        </w:numPr>
        <w:ind w:left="1440" w:hanging="181"/>
        <w:contextualSpacing/>
        <w:rPr>
          <w:rFonts w:ascii="TitilliumText25L" w:eastAsiaTheme="minorHAnsi" w:hAnsi="TitilliumText25L" w:cstheme="minorHAnsi"/>
        </w:rPr>
      </w:pPr>
      <w:r w:rsidRPr="00C169DB">
        <w:rPr>
          <w:rFonts w:ascii="TitilliumText25L" w:eastAsiaTheme="minorHAnsi" w:hAnsi="TitilliumText25L" w:cstheme="minorHAnsi"/>
        </w:rPr>
        <w:t>Emerging evidence that transfusion may be an independent risk factor for adverse outcomes including increased morbidity, mortality and hospital length of stay.</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"DOI" : "10.1097/ACO.0b013e32834eb726", "abstract" : "PURPOSE OF REVIEW: Evidence-based patient blood management (PBM) is aimed at achieving better patient outcomes by relying on a patient's own blood rather than on donor blood. This review covers the rationale behind PBM, the treatment modalities involved and the drivers to adopt PBM as a new standard of care. RECENT FINDINGS: Transfusion rates vary significantly between comparable countries; they also vary between centers for matched patients in standardized elective surgical interventions. Preoperative anemia, perioperative blood loss and liberal transfusion triggers are the main predictors for transfusion and pose risks to the patient. PBM is mitigating these risks by optimizing the patient's native red cell mass, minimizing blood loss, optimizing the physiological reserve of anemia and preempting transfusions. A growing number of studies show that transfusion is associated in a dose-dependent relationship with increased morbidity, mortality and hospital length of stay. Evidence suggests that this relationship is not merely associative but causal. Furthermore, the over-ageing population of the developed world leads to a growing gap between supply and demand of blood, the safety of donor blood remains unpredictable and the cost of transfusion is much higher than previously estimated. SUMMARY: High transfusion variability, adverse transfusion outcomes, limited evidence for the benefit of transfusion particularly in elective patients and high cost of transfusion are challenging the traditional transfusion paradigm. National and state-wide initiatives are underway in Australia to broadly implement PBM and PBM programs as a new and cost-effective standard of care in the public health system.", "author" : [ { "dropping-particle" : "", "family" : "Hofmann", "given" : "Axel", "non-dropping-particle" : "", "parse-names" : false, "suffix" : "" }, { "dropping-particle" : "", "family" : "Farmer", "given" : "Shannon", "non-dropping-particle" : "", "parse-names" : false, "suffix" : "" }, { "dropping-particle" : "", "family" : "Towler", "given" : "Simon C", "non-dropping-particle" : "", "parse-names" : false, "suffix" : "" } ], "container-title" : "Current opinion in anaesthesiology", "id" : "ITEM-1", "issue" : "1", "issued" : { "date-parts" : [ [ "2012" ] ] }, "page" : "66-73", "title" : "Strategies to preempt and reduce the use of blood products: an Australian perspective.", "type" : "article-journal", "volume" : "25" }, "uris" : [ "http://www.mendeley.com/documents/?uuid=bd9ad883-c5dd-465f-bd70-928259714a47" ] } ], "mendeley" : { "previouslyFormattedCitation" : "&lt;sup&gt;2&lt;/sup&gt;"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2</w:t>
      </w:r>
      <w:r w:rsidRPr="00C169DB">
        <w:rPr>
          <w:rFonts w:ascii="TitilliumText25L" w:eastAsiaTheme="minorHAnsi" w:hAnsi="TitilliumText25L" w:cstheme="minorHAnsi"/>
        </w:rPr>
        <w:fldChar w:fldCharType="end"/>
      </w:r>
    </w:p>
    <w:p w:rsidR="00D34CAB" w:rsidRPr="00C169DB" w:rsidRDefault="00D34CAB" w:rsidP="00D34CAB">
      <w:pPr>
        <w:numPr>
          <w:ilvl w:val="0"/>
          <w:numId w:val="18"/>
        </w:numPr>
        <w:spacing w:before="240" w:after="120"/>
        <w:ind w:left="714" w:hanging="357"/>
        <w:rPr>
          <w:rFonts w:ascii="TitilliumText25L" w:eastAsiaTheme="minorHAnsi" w:hAnsi="TitilliumText25L" w:cstheme="minorHAnsi"/>
        </w:rPr>
      </w:pPr>
      <w:r w:rsidRPr="00C169DB">
        <w:rPr>
          <w:rFonts w:ascii="TitilliumText25L" w:eastAsiaTheme="minorHAnsi" w:hAnsi="TitilliumText25L" w:cstheme="minorHAnsi"/>
        </w:rPr>
        <w:t>A single unit transfusion guideline and patient blood management will align with State and Territory Governments’ Health Service Strategic Plans, and Hospital organisational values and mission statements.</w:t>
      </w:r>
    </w:p>
    <w:p w:rsidR="00D34CAB" w:rsidRPr="00C169DB" w:rsidRDefault="00D34CAB" w:rsidP="00D34CAB">
      <w:pPr>
        <w:numPr>
          <w:ilvl w:val="0"/>
          <w:numId w:val="18"/>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 xml:space="preserve">Queensland, Victoria, New South Wales and South Australia Health Departments have strategic plans that have elements aligning with patient blood management principles. They variously mention health services focused on the patient, providing value, innovation, quality initiatives, and response to the aging population. (Western Australia already has a patient blood management program in place). This is true also of individual hospitals and hospital groups. </w:t>
      </w:r>
    </w:p>
    <w:p w:rsidR="00D34CAB" w:rsidRPr="00C169DB" w:rsidRDefault="00D34CAB" w:rsidP="00D34CAB">
      <w:pPr>
        <w:numPr>
          <w:ilvl w:val="0"/>
          <w:numId w:val="18"/>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A single unit transfusion guideline has the potential to reduce red blood cell utilisation and preserve the blood supply.</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"ITEM-1",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"id" : "ITEM-2", "itemData" : { "author" : [ { "dropping-particle" : "", "family" : "H\u00e9bert", "given" : "Paul C.", "non-dropping-particle" : "", "parse-names" : false, "suffix" : "" }, { "dropping-particle" : "", "family" : "Wells", "given" : "George", "non-dropping-particle" : "", "parse-names" : false, "suffix" : "" }, { "dropping-particle" : "", "family" : "Blajchman", "given" : "Morris A.", "non-dropping-particle" : "", "parse-names" : false, "suffix" : "" }, { "dropping-particle" : "", "family" : "Marshall", "given" : "John", "non-dropping-particle" : "", "parse-names" : false, "suffix" : "" }, { "dropping-particle" : "", "family" : "Martin", "given" : "Claudio", "non-dropping-particle" : "", "parse-names" : false, "suffix" : "" }, { "dropping-particle" : "", "family" : "Pagliarello", "given" : "Giuseppe", "non-dropping-particle" : "", "parse-names" : false, "suffix" : "" }, { "dropping-particle" : "", "family" : "Tweeddale", "given" : "Martin", "non-dropping-particle" : "", "parse-names" : false, "suffix" : "" }, { "dropping-particle" : "", "family" : "Schweitzer", "given" : "Irwin", "non-dropping-particle" : "", "parse-names" : false, "suffix" : "" }, { "dropping-particle" : "", "family" : "Yetisir", "given" : "Elizabeth", "non-dropping-particle" : "", "parse-names" : false, "suffix" : "" } ], "container-title" : "N Engl J Med", "id" : "ITEM-2", "issued" : { "date-parts" : [ [ "1999" ] ] }, "page" : "409-417", "title" : "A multicenter , randomized, controlled clinical trial of transfusion requirements in critical care", "type" : "article-journal", "volume" : "340" }, "uris" : [ "http://www.mendeley.com/documents/?uuid=ebab5060-09e5-47dc-8884-d2c57f5ed4b6" ] } ], "mendeley" : { "previouslyFormattedCitation" : "&lt;sup&gt;3,4&lt;/sup&gt;"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3,4</w:t>
      </w:r>
      <w:r w:rsidRPr="00C169DB">
        <w:rPr>
          <w:rFonts w:ascii="TitilliumText25L" w:eastAsiaTheme="minorHAnsi" w:hAnsi="TitilliumText25L" w:cstheme="minorHAnsi"/>
        </w:rPr>
        <w:fldChar w:fldCharType="end"/>
      </w:r>
    </w:p>
    <w:p w:rsidR="00601436" w:rsidRPr="00C169DB" w:rsidRDefault="00601436">
      <w:pPr>
        <w:rPr>
          <w:rFonts w:ascii="TitilliumText25L" w:eastAsiaTheme="minorHAnsi" w:hAnsi="TitilliumText25L" w:cstheme="minorHAnsi"/>
        </w:rPr>
      </w:pPr>
      <w:r w:rsidRPr="00C169DB">
        <w:rPr>
          <w:rFonts w:ascii="TitilliumText25L" w:eastAsiaTheme="minorHAnsi" w:hAnsi="TitilliumText25L" w:cstheme="minorHAnsi"/>
        </w:rPr>
        <w:br w:type="page"/>
      </w:r>
    </w:p>
    <w:p w:rsidR="00D34CAB" w:rsidRPr="00C169DB" w:rsidRDefault="00D34CAB" w:rsidP="00D34CAB">
      <w:pPr>
        <w:pStyle w:val="Heading4"/>
        <w:numPr>
          <w:ilvl w:val="0"/>
          <w:numId w:val="17"/>
        </w:numPr>
        <w:rPr>
          <w:rFonts w:ascii="TitilliumText25L" w:hAnsi="TitilliumText25L"/>
          <w:color w:val="C60C30"/>
          <w:sz w:val="32"/>
          <w:szCs w:val="32"/>
        </w:rPr>
      </w:pPr>
      <w:r w:rsidRPr="00C169DB">
        <w:rPr>
          <w:rFonts w:ascii="TitilliumText25L" w:hAnsi="TitilliumText25L"/>
          <w:color w:val="C60C30"/>
          <w:sz w:val="32"/>
          <w:szCs w:val="32"/>
        </w:rPr>
        <w:t>Implementation Plan</w:t>
      </w:r>
    </w:p>
    <w:p w:rsidR="00D34CAB" w:rsidRPr="00C169DB" w:rsidRDefault="00D34CAB" w:rsidP="00D34CAB">
      <w:pPr>
        <w:rPr>
          <w:rFonts w:ascii="TitilliumText25L" w:hAnsi="TitilliumText25L"/>
        </w:rPr>
      </w:pPr>
      <w:r w:rsidRPr="00C169DB">
        <w:rPr>
          <w:rFonts w:ascii="TitilliumText25L" w:hAnsi="TitilliumText25L"/>
        </w:rPr>
        <w:t>The following steps have been adapted from the Western Australia Government Single Unit Rule</w:t>
      </w:r>
      <w:r w:rsidRPr="00C169DB">
        <w:rPr>
          <w:rFonts w:ascii="TitilliumText25L" w:hAnsi="TitilliumText25L"/>
        </w:rPr>
        <w:fldChar w:fldCharType="begin" w:fldLock="1"/>
      </w:r>
      <w:r w:rsidRPr="00C169DB">
        <w:rPr>
          <w:rFonts w:ascii="TitilliumText25L" w:hAnsi="TitilliumText25L"/>
        </w:rPr>
        <w:instrText>ADDIN CSL_CITATION { "citationItems" : [ { "id" : "ITEM-1", "itemData" : { "author" : [ { "dropping-particle" : "", "family" : "Western Australia Government", "given" : "", "non-dropping-particle" : "", "parse-names" : false, "suffix" : "" } ], "id" : "ITEM-1", "issued" : { "date-parts" : [ [ "2012" ] ] }, "title" : "Single Unit Rule: A Quick Start Guide to Transfusion Reduction", "type" : "article-journal" }, "uris" : [ "http://www.mendeley.com/documents/?uuid=248e6614-4e99-4662-8633-f3534d49d192" ] } ], "mendeley" : { "previouslyFormattedCitation" : "&lt;sup&gt;5&lt;/sup&gt;" }, "properties" : { "noteIndex" : 0 }, "schema" : "https://github.com/citation-style-language/schema/raw/master/csl-citation.json" }</w:instrText>
      </w:r>
      <w:r w:rsidRPr="00C169DB">
        <w:rPr>
          <w:rFonts w:ascii="TitilliumText25L" w:hAnsi="TitilliumText25L"/>
        </w:rPr>
        <w:fldChar w:fldCharType="separate"/>
      </w:r>
      <w:r w:rsidRPr="00C169DB">
        <w:rPr>
          <w:rFonts w:ascii="TitilliumText25L" w:hAnsi="TitilliumText25L"/>
          <w:noProof/>
          <w:vertAlign w:val="superscript"/>
        </w:rPr>
        <w:t>5</w:t>
      </w:r>
      <w:r w:rsidRPr="00C169DB">
        <w:rPr>
          <w:rFonts w:ascii="TitilliumText25L" w:hAnsi="TitilliumText25L"/>
        </w:rPr>
        <w:fldChar w:fldCharType="end"/>
      </w:r>
    </w:p>
    <w:p w:rsidR="00D34CAB" w:rsidRPr="00C169DB" w:rsidRDefault="00D34CAB" w:rsidP="00D34CAB">
      <w:pPr>
        <w:numPr>
          <w:ilvl w:val="0"/>
          <w:numId w:val="20"/>
        </w:numPr>
        <w:spacing w:after="120"/>
        <w:ind w:left="720"/>
        <w:rPr>
          <w:rFonts w:ascii="TitilliumText25L" w:eastAsiaTheme="minorHAnsi" w:hAnsi="TitilliumText25L" w:cstheme="minorHAnsi"/>
        </w:rPr>
      </w:pPr>
      <w:r w:rsidRPr="00C169DB">
        <w:rPr>
          <w:rFonts w:ascii="TitilliumText25L" w:eastAsiaTheme="minorHAnsi" w:hAnsi="TitilliumText25L" w:cstheme="minorHAnsi"/>
        </w:rPr>
        <w:t>Gain approval from executive management, medical director (or equivalent) for hospital or health group. Involve hospital quality managers, Transfusion Governance Committee and Clinical Governance / Patient blood Management Committee where possible.</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Identify and recruit champions from medical staff to assist in creation, promotion and implementation of a single unit transfusion guide.</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Develop timelines and an education plan.</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Identify staff for education and promotional roles, and/or utilise transfusion nurse specialists, hospital educators or equivalent if available.</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Utilise existing Transfusion Governance Committee to promote patient blood management and  single unit transfusion through this group. Introduce patient blood management into Terms of Reference, local literature, and single unit transfusion into all hospital policies and procedures around transfusion practices.</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Education should ensure clarification that single unit transfusion does not apply to patients with clinically significant bleeding.</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"&lt;sup&gt;6&lt;/sup&gt;"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6</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If not already available, create a </w:t>
      </w:r>
      <w:hyperlink r:id="rId51" w:history="1">
        <w:r w:rsidRPr="00C169DB">
          <w:rPr>
            <w:rStyle w:val="Hyperlink"/>
            <w:rFonts w:ascii="TitilliumText25L" w:eastAsiaTheme="minorHAnsi" w:hAnsi="TitilliumText25L" w:cstheme="minorHAnsi"/>
          </w:rPr>
          <w:t>Massive Transfusion Protocol</w:t>
        </w:r>
      </w:hyperlink>
      <w:r w:rsidRPr="00C169DB">
        <w:rPr>
          <w:rFonts w:ascii="TitilliumText25L" w:eastAsiaTheme="minorHAnsi" w:hAnsi="TitilliumText25L" w:cstheme="minorHAnsi"/>
        </w:rPr>
        <w:t>.</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"National Blood Authority", "given" : "", "non-dropping-particle" : "", "parse-names" : false, "suffix" : "" } ], "id" : "ITEM-1", "issued" : { "date-parts" : [ [ "2011" ] ] }, "publisher-place" : "Canberra, Australia", "title" : "Patient Blood Management Guidelines: Module 1 - Critical Bleeding / Massive Transfusion", "type" : "book" }, "uris" : [ "http://www.mendeley.com/documents/?uuid=50da7b99-4c47-42eb-82ba-94405ba2c947" ] } ], "mendeley" : { "previouslyFormattedCitation" : "&lt;sup&gt;7&lt;/sup&gt;"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7</w:t>
      </w:r>
      <w:r w:rsidRPr="00C169DB">
        <w:rPr>
          <w:rFonts w:ascii="TitilliumText25L" w:eastAsiaTheme="minorHAnsi" w:hAnsi="TitilliumText25L" w:cstheme="minorHAnsi"/>
        </w:rPr>
        <w:fldChar w:fldCharType="end"/>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 xml:space="preserve">Educate medical staff on the material provided to patients and the questions patients will be encouraged to ask. Ensure awareness of real risks of transfusion. </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If available, modify computerised physician order entry (CPOE) software to guide decision to transfuse, and prescription of red cells to ensure compliance with the Single Unit Transfusion guideline. Create distinction between “actively bleeding? – YES or NO” If No, only allow order for 1 unit at a time, with explanations required for over-rides.</w:t>
      </w:r>
    </w:p>
    <w:p w:rsidR="00D34CAB" w:rsidRPr="00C169DB" w:rsidRDefault="00D34CAB" w:rsidP="00D34CAB">
      <w:pPr>
        <w:numPr>
          <w:ilvl w:val="0"/>
          <w:numId w:val="20"/>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Hospital wide education to all staff: Use a catch-phrase : for example “</w:t>
      </w:r>
      <w:r w:rsidRPr="00C169DB">
        <w:rPr>
          <w:rFonts w:ascii="TitilliumText25L" w:eastAsiaTheme="minorHAnsi" w:hAnsi="TitilliumText25L" w:cstheme="minorHAnsi"/>
          <w:b/>
        </w:rPr>
        <w:t xml:space="preserve">Every </w:t>
      </w:r>
      <w:r w:rsidRPr="00C169DB">
        <w:rPr>
          <w:rFonts w:ascii="TitilliumText25L" w:eastAsiaTheme="minorHAnsi" w:hAnsi="TitilliumText25L" w:cstheme="minorHAnsi"/>
          <w:b/>
          <w:color w:val="C60C30"/>
        </w:rPr>
        <w:t xml:space="preserve">ONE </w:t>
      </w:r>
      <w:r w:rsidRPr="00C169DB">
        <w:rPr>
          <w:rFonts w:ascii="TitilliumText25L" w:eastAsiaTheme="minorHAnsi" w:hAnsi="TitilliumText25L" w:cstheme="minorHAnsi"/>
          <w:b/>
        </w:rPr>
        <w:t>matters</w:t>
      </w:r>
      <w:r w:rsidRPr="00C169DB">
        <w:rPr>
          <w:rFonts w:ascii="TitilliumText25L" w:eastAsiaTheme="minorHAnsi" w:hAnsi="TitilliumText25L" w:cstheme="minorHAnsi"/>
        </w:rPr>
        <w:t>”, “</w:t>
      </w:r>
      <w:r w:rsidRPr="00C169DB">
        <w:rPr>
          <w:rFonts w:ascii="TitilliumText25L" w:eastAsiaTheme="minorHAnsi" w:hAnsi="TitilliumText25L" w:cstheme="minorHAnsi"/>
          <w:b/>
          <w:color w:val="C60C30"/>
        </w:rPr>
        <w:t>ONE</w:t>
      </w:r>
      <w:r w:rsidRPr="00C169DB">
        <w:rPr>
          <w:rFonts w:ascii="TitilliumText25L" w:eastAsiaTheme="minorHAnsi" w:hAnsi="TitilliumText25L" w:cstheme="minorHAnsi"/>
          <w:b/>
        </w:rPr>
        <w:t xml:space="preserve"> bag is best - then reassess</w:t>
      </w:r>
      <w:r w:rsidRPr="00C169DB">
        <w:rPr>
          <w:rFonts w:ascii="TitilliumText25L" w:eastAsiaTheme="minorHAnsi" w:hAnsi="TitilliumText25L" w:cstheme="minorHAnsi"/>
        </w:rPr>
        <w:t>” and “</w:t>
      </w:r>
      <w:r w:rsidRPr="00C169DB">
        <w:rPr>
          <w:rFonts w:ascii="TitilliumText25L" w:eastAsiaTheme="minorHAnsi" w:hAnsi="TitilliumText25L" w:cstheme="minorHAnsi"/>
          <w:b/>
        </w:rPr>
        <w:t xml:space="preserve">Be </w:t>
      </w:r>
      <w:r w:rsidRPr="00C169DB">
        <w:rPr>
          <w:rFonts w:ascii="TitilliumText25L" w:eastAsiaTheme="minorHAnsi" w:hAnsi="TitilliumText25L" w:cstheme="minorHAnsi"/>
          <w:b/>
          <w:color w:val="C60C30"/>
        </w:rPr>
        <w:t xml:space="preserve">Single </w:t>
      </w:r>
      <w:r w:rsidRPr="00C169DB">
        <w:rPr>
          <w:rFonts w:ascii="TitilliumText25L" w:eastAsiaTheme="minorHAnsi" w:hAnsi="TitilliumText25L" w:cstheme="minorHAnsi"/>
          <w:b/>
        </w:rPr>
        <w:t>minded</w:t>
      </w:r>
      <w:r w:rsidRPr="00C169DB">
        <w:rPr>
          <w:rFonts w:ascii="TitilliumText25L" w:eastAsiaTheme="minorHAnsi" w:hAnsi="TitilliumText25L" w:cstheme="minorHAnsi"/>
        </w:rPr>
        <w:t>”. Every ONE matters has been used in the support documents but you may wish to substitute it with another catch-phrase. Consider:</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Grand Rounds, Morbidity and Mortality (M&amp;M) meetings, Division/specialty regular meetings or seminars</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Intranet and website features, internal magazines, regular internal publications including electronic communications. Cycle eye-catching and variable promotional material, repeat exposure regularly</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Laboratory staff meetings, education seminars, notice boards</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Display boards in medical specialty areas, staff rooms, conference rooms</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Information incorporated into orientation education for medical, nursing and laboratory staff</w:t>
      </w:r>
    </w:p>
    <w:p w:rsidR="00D34CAB" w:rsidRPr="00C169DB" w:rsidRDefault="00D34CAB" w:rsidP="00D34CAB">
      <w:pPr>
        <w:numPr>
          <w:ilvl w:val="0"/>
          <w:numId w:val="24"/>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Information provided with every red blood cell issue from Laboratory for introductory period. Present it printed on the release report if possible with IT system in use, or leaflets</w:t>
      </w:r>
    </w:p>
    <w:p w:rsidR="00D34CAB" w:rsidRPr="00C169DB" w:rsidRDefault="00D34CAB" w:rsidP="00D34CAB">
      <w:pPr>
        <w:numPr>
          <w:ilvl w:val="0"/>
          <w:numId w:val="24"/>
        </w:numPr>
        <w:spacing w:after="120"/>
        <w:ind w:left="1445"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Training manuals in laboratories to reflect patient blood management principles and single unit transfusion guideline information</w:t>
      </w:r>
    </w:p>
    <w:p w:rsidR="00D34CAB" w:rsidRPr="00C169DB" w:rsidRDefault="00D34CAB" w:rsidP="00D34CAB">
      <w:pPr>
        <w:numPr>
          <w:ilvl w:val="0"/>
          <w:numId w:val="20"/>
        </w:numPr>
        <w:spacing w:before="240" w:after="120"/>
        <w:ind w:left="714" w:hanging="357"/>
        <w:rPr>
          <w:rFonts w:ascii="TitilliumText25L" w:eastAsiaTheme="minorHAnsi" w:hAnsi="TitilliumText25L" w:cstheme="minorHAnsi"/>
        </w:rPr>
      </w:pPr>
      <w:r w:rsidRPr="00C169DB">
        <w:rPr>
          <w:rFonts w:ascii="TitilliumText25L" w:eastAsiaTheme="minorHAnsi" w:hAnsi="TitilliumText25L" w:cstheme="minorHAnsi"/>
        </w:rPr>
        <w:t xml:space="preserve">Patient / consumer education material available for pre-operative clinics, medical clinics, outpatient areas, emergency rooms, treatment rooms, and on public access websites. </w:t>
      </w:r>
    </w:p>
    <w:p w:rsidR="00D34CAB" w:rsidRPr="00C169DB" w:rsidRDefault="00D34CAB" w:rsidP="00D34CAB">
      <w:pPr>
        <w:numPr>
          <w:ilvl w:val="0"/>
          <w:numId w:val="20"/>
        </w:numPr>
        <w:spacing w:after="120"/>
        <w:ind w:left="714" w:hanging="357"/>
        <w:rPr>
          <w:rFonts w:ascii="TitilliumText25L" w:eastAsiaTheme="minorHAnsi" w:hAnsi="TitilliumText25L" w:cstheme="minorHAnsi"/>
        </w:rPr>
      </w:pPr>
      <w:r w:rsidRPr="00C169DB">
        <w:rPr>
          <w:rFonts w:ascii="TitilliumText25L" w:eastAsiaTheme="minorHAnsi" w:hAnsi="TitilliumText25L" w:cstheme="minorHAnsi"/>
        </w:rPr>
        <w:t xml:space="preserve">Empower and support transfusion nursing and laboratory staff to monitor compliance to a single unit transfusion guideline. </w:t>
      </w:r>
    </w:p>
    <w:p w:rsidR="00D34CAB" w:rsidRPr="00C169DB" w:rsidRDefault="00D34CAB" w:rsidP="00D34CAB">
      <w:pPr>
        <w:numPr>
          <w:ilvl w:val="0"/>
          <w:numId w:val="19"/>
        </w:numPr>
        <w:spacing w:after="120"/>
        <w:ind w:left="1445"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Provide copy of the guideline and scripts of questions and answers to assess prescription or request is compliant with the guideline parameters. Provide a mechanism to document requests and challenges.</w:t>
      </w:r>
    </w:p>
    <w:p w:rsidR="00D34CAB" w:rsidRPr="00C169DB" w:rsidRDefault="00D34CAB" w:rsidP="00D34CAB">
      <w:pPr>
        <w:numPr>
          <w:ilvl w:val="0"/>
          <w:numId w:val="19"/>
        </w:numPr>
        <w:spacing w:after="120"/>
        <w:ind w:left="1445"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Ensure appropriate medical staff (haematology, clinician champion) are available to support challenges to requests.</w:t>
      </w:r>
    </w:p>
    <w:p w:rsidR="00601436" w:rsidRPr="00C169DB" w:rsidRDefault="00D34CAB" w:rsidP="00D34CAB">
      <w:pPr>
        <w:numPr>
          <w:ilvl w:val="0"/>
          <w:numId w:val="19"/>
        </w:numPr>
        <w:spacing w:after="120"/>
        <w:ind w:left="1445"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Provide easy access to educational material that the laboratory or nursing staff can share with prescribers, if necessary.</w:t>
      </w:r>
    </w:p>
    <w:p w:rsidR="00601436" w:rsidRPr="00C169DB" w:rsidRDefault="00601436">
      <w:pPr>
        <w:rPr>
          <w:rFonts w:ascii="TitilliumText25L" w:eastAsiaTheme="minorHAnsi" w:hAnsi="TitilliumText25L" w:cstheme="minorHAnsi"/>
          <w:szCs w:val="20"/>
        </w:rPr>
      </w:pPr>
      <w:r w:rsidRPr="00C169DB">
        <w:rPr>
          <w:rFonts w:ascii="TitilliumText25L" w:eastAsiaTheme="minorHAnsi" w:hAnsi="TitilliumText25L" w:cstheme="minorHAnsi"/>
          <w:szCs w:val="20"/>
        </w:rPr>
        <w:br w:type="page"/>
      </w:r>
    </w:p>
    <w:p w:rsidR="00D34CAB" w:rsidRPr="00C169DB" w:rsidRDefault="00D34CAB" w:rsidP="00D34CAB">
      <w:pPr>
        <w:pStyle w:val="Heading4"/>
        <w:numPr>
          <w:ilvl w:val="0"/>
          <w:numId w:val="17"/>
        </w:numPr>
        <w:contextualSpacing/>
        <w:rPr>
          <w:rFonts w:ascii="TitilliumText25L" w:hAnsi="TitilliumText25L"/>
          <w:color w:val="C60C30"/>
          <w:sz w:val="32"/>
          <w:szCs w:val="32"/>
        </w:rPr>
      </w:pPr>
      <w:r w:rsidRPr="00C169DB">
        <w:rPr>
          <w:rFonts w:ascii="TitilliumText25L" w:hAnsi="TitilliumText25L"/>
          <w:color w:val="C60C30"/>
          <w:sz w:val="32"/>
          <w:szCs w:val="32"/>
        </w:rPr>
        <w:t>Resources Required</w:t>
      </w:r>
    </w:p>
    <w:p w:rsidR="00D34CAB" w:rsidRPr="00C169DB" w:rsidRDefault="00D34CAB" w:rsidP="00D34CAB">
      <w:pPr>
        <w:numPr>
          <w:ilvl w:val="0"/>
          <w:numId w:val="27"/>
        </w:numPr>
        <w:spacing w:after="120"/>
        <w:rPr>
          <w:rFonts w:ascii="TitilliumText25L" w:eastAsiaTheme="minorHAnsi" w:hAnsi="TitilliumText25L" w:cstheme="minorHAnsi"/>
        </w:rPr>
      </w:pPr>
      <w:r w:rsidRPr="00C169DB">
        <w:rPr>
          <w:rFonts w:ascii="TitilliumText25L" w:eastAsiaTheme="minorHAnsi" w:hAnsi="TitilliumText25L" w:cstheme="minorHAnsi"/>
        </w:rPr>
        <w:t xml:space="preserve">Clinical Champions - clinical champions can be any interested health professional </w:t>
      </w:r>
    </w:p>
    <w:p w:rsidR="00D34CAB" w:rsidRPr="00C169DB" w:rsidRDefault="00D34CAB" w:rsidP="00D34CAB">
      <w:pPr>
        <w:numPr>
          <w:ilvl w:val="0"/>
          <w:numId w:val="27"/>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Nominated staff to provide education, promotion, monitoring and data collection</w:t>
      </w:r>
    </w:p>
    <w:p w:rsidR="00D34CAB" w:rsidRPr="00C169DB" w:rsidRDefault="00D34CAB" w:rsidP="00D34CAB">
      <w:pPr>
        <w:numPr>
          <w:ilvl w:val="0"/>
          <w:numId w:val="27"/>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Printed promotional material; posters, leaflets, brochures</w:t>
      </w:r>
    </w:p>
    <w:p w:rsidR="00D34CAB" w:rsidRPr="00C169DB" w:rsidRDefault="00D34CAB" w:rsidP="00D34CAB">
      <w:pPr>
        <w:numPr>
          <w:ilvl w:val="0"/>
          <w:numId w:val="27"/>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 xml:space="preserve">Electronic promotional material – IT support for access to local systems </w:t>
      </w:r>
    </w:p>
    <w:p w:rsidR="00D34CAB" w:rsidRPr="00C169DB" w:rsidRDefault="00D34CAB" w:rsidP="00D34CAB">
      <w:pPr>
        <w:numPr>
          <w:ilvl w:val="0"/>
          <w:numId w:val="27"/>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 xml:space="preserve">Ability to modify existing electronic ordering software if available </w:t>
      </w:r>
    </w:p>
    <w:p w:rsidR="00D34CAB" w:rsidRPr="00C169DB" w:rsidRDefault="00D34CAB" w:rsidP="00D34CAB">
      <w:pPr>
        <w:pStyle w:val="Heading4"/>
        <w:ind w:left="360"/>
        <w:contextualSpacing/>
        <w:rPr>
          <w:rFonts w:ascii="TitilliumText25L" w:hAnsi="TitilliumText25L"/>
        </w:rPr>
      </w:pPr>
    </w:p>
    <w:p w:rsidR="00D34CAB" w:rsidRPr="00C169DB" w:rsidRDefault="00D34CAB" w:rsidP="00D34CAB">
      <w:pPr>
        <w:pStyle w:val="Heading4"/>
        <w:numPr>
          <w:ilvl w:val="0"/>
          <w:numId w:val="17"/>
        </w:numPr>
        <w:contextualSpacing/>
        <w:rPr>
          <w:rFonts w:ascii="TitilliumText25L" w:hAnsi="TitilliumText25L"/>
          <w:color w:val="C60C30"/>
          <w:sz w:val="32"/>
          <w:szCs w:val="32"/>
        </w:rPr>
      </w:pPr>
      <w:r w:rsidRPr="00C169DB">
        <w:rPr>
          <w:rFonts w:ascii="TitilliumText25L" w:hAnsi="TitilliumText25L"/>
          <w:color w:val="C60C30"/>
          <w:sz w:val="32"/>
          <w:szCs w:val="32"/>
        </w:rPr>
        <w:t>Plan for monitoring and tracking compliance / success</w:t>
      </w:r>
    </w:p>
    <w:p w:rsidR="00D34CAB" w:rsidRPr="00C169DB" w:rsidRDefault="00D34CAB" w:rsidP="00D34CAB">
      <w:pPr>
        <w:numPr>
          <w:ilvl w:val="0"/>
          <w:numId w:val="21"/>
        </w:numPr>
        <w:spacing w:after="120"/>
        <w:ind w:left="720"/>
        <w:rPr>
          <w:rFonts w:ascii="TitilliumText25L" w:eastAsiaTheme="minorHAnsi" w:hAnsi="TitilliumText25L" w:cstheme="minorHAnsi"/>
        </w:rPr>
      </w:pPr>
      <w:r w:rsidRPr="00C169DB">
        <w:rPr>
          <w:rFonts w:ascii="TitilliumText25L" w:eastAsiaTheme="minorHAnsi" w:hAnsi="TitilliumText25L" w:cstheme="minorHAnsi"/>
        </w:rPr>
        <w:t>Collect data to monitor compliance to the guideline and provide feedback to Hospital Executive / Quality Managers, Transfusion Governance Committee / Patient Blood Management Committee, Medical Specialties/ Divisions, Nursing Unit Managers, Educators, Laboratory managers and senior staff.</w:t>
      </w:r>
    </w:p>
    <w:p w:rsidR="00D34CAB" w:rsidRPr="00C169DB" w:rsidRDefault="00D34CAB" w:rsidP="00D34CAB">
      <w:pPr>
        <w:numPr>
          <w:ilvl w:val="0"/>
          <w:numId w:val="21"/>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Data may include:</w:t>
      </w:r>
    </w:p>
    <w:p w:rsidR="00D34CAB" w:rsidRPr="00C169DB" w:rsidRDefault="00D34CAB" w:rsidP="00D34CAB">
      <w:pPr>
        <w:numPr>
          <w:ilvl w:val="0"/>
          <w:numId w:val="22"/>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A log of requests submitted that do not fall within the policy criteria.</w:t>
      </w:r>
    </w:p>
    <w:p w:rsidR="00D34CAB" w:rsidRPr="00C169DB" w:rsidRDefault="00D34CAB" w:rsidP="00D34CAB">
      <w:pPr>
        <w:numPr>
          <w:ilvl w:val="0"/>
          <w:numId w:val="22"/>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The number of red blood cell units ordered into inventory daily (BloodNet statistics).</w:t>
      </w:r>
    </w:p>
    <w:p w:rsidR="00D34CAB" w:rsidRPr="00C169DB" w:rsidRDefault="00D34CAB" w:rsidP="00D34CAB">
      <w:pPr>
        <w:numPr>
          <w:ilvl w:val="0"/>
          <w:numId w:val="22"/>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The number of red blood cell units transfused per patient.</w:t>
      </w:r>
    </w:p>
    <w:p w:rsidR="00D34CAB" w:rsidRPr="00C169DB" w:rsidRDefault="00D34CAB" w:rsidP="00D34CAB">
      <w:pPr>
        <w:numPr>
          <w:ilvl w:val="0"/>
          <w:numId w:val="22"/>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The number of patients who received a single red blood cell unit transfusion per 24 hours.</w:t>
      </w:r>
    </w:p>
    <w:p w:rsidR="00D34CAB" w:rsidRPr="00C169DB" w:rsidRDefault="00D34CAB" w:rsidP="00D34CAB">
      <w:pPr>
        <w:numPr>
          <w:ilvl w:val="0"/>
          <w:numId w:val="22"/>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 xml:space="preserve">Audits of patient medical records and transfusion episodes assessing compliance to the single unit transfusion guideline. </w:t>
      </w:r>
    </w:p>
    <w:p w:rsidR="00D34CAB" w:rsidRPr="00C169DB" w:rsidRDefault="00D34CAB" w:rsidP="00D34CAB">
      <w:pPr>
        <w:spacing w:after="120"/>
        <w:rPr>
          <w:rFonts w:ascii="TitilliumText25L" w:eastAsiaTheme="minorHAnsi" w:hAnsi="TitilliumText25L" w:cstheme="minorHAnsi"/>
          <w:sz w:val="2"/>
        </w:rPr>
      </w:pPr>
    </w:p>
    <w:p w:rsidR="00D34CAB" w:rsidRPr="00C169DB" w:rsidRDefault="00D34CAB" w:rsidP="00D34CAB">
      <w:pPr>
        <w:numPr>
          <w:ilvl w:val="0"/>
          <w:numId w:val="21"/>
        </w:numPr>
        <w:spacing w:after="120"/>
        <w:ind w:left="717" w:hanging="357"/>
        <w:rPr>
          <w:rFonts w:ascii="TitilliumText25L" w:eastAsiaTheme="minorHAnsi" w:hAnsi="TitilliumText25L" w:cstheme="minorHAnsi"/>
        </w:rPr>
      </w:pPr>
      <w:r w:rsidRPr="00C169DB">
        <w:rPr>
          <w:rFonts w:ascii="TitilliumText25L" w:eastAsiaTheme="minorHAnsi" w:hAnsi="TitilliumText25L" w:cstheme="minorHAnsi"/>
        </w:rPr>
        <w:t>Provide feedback:</w:t>
      </w:r>
    </w:p>
    <w:p w:rsidR="00D34CAB" w:rsidRPr="00C169DB" w:rsidRDefault="00D34CAB" w:rsidP="00D34CAB">
      <w:pPr>
        <w:numPr>
          <w:ilvl w:val="0"/>
          <w:numId w:val="23"/>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Introduce this data collection and analysis as a standing item on the Transfusion Governance Committee / Patient Blood Management Committee agenda.</w:t>
      </w:r>
    </w:p>
    <w:p w:rsidR="00D34CAB" w:rsidRPr="00C169DB" w:rsidRDefault="00D34CAB" w:rsidP="00D34CAB">
      <w:pPr>
        <w:numPr>
          <w:ilvl w:val="0"/>
          <w:numId w:val="23"/>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Report results to wards and divisions regularly, and to quality managers, for example with regular clinical meetings or newsletters.</w:t>
      </w:r>
    </w:p>
    <w:p w:rsidR="00D34CAB" w:rsidRPr="00C169DB" w:rsidRDefault="00D34CAB" w:rsidP="00D34CAB">
      <w:pPr>
        <w:numPr>
          <w:ilvl w:val="0"/>
          <w:numId w:val="23"/>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Share statistics with transfusion staff to highlight the impact of the introduction of the single unit transfusion guideline.</w:t>
      </w:r>
    </w:p>
    <w:p w:rsidR="00D34CAB" w:rsidRPr="00C169DB" w:rsidRDefault="00D34CAB" w:rsidP="00D34CAB">
      <w:pPr>
        <w:numPr>
          <w:ilvl w:val="0"/>
          <w:numId w:val="23"/>
        </w:numPr>
        <w:spacing w:after="120"/>
        <w:ind w:left="1443"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Provide a forum for problems or difficulties to be aired, discussed and resolved.</w:t>
      </w:r>
    </w:p>
    <w:p w:rsidR="00D34CAB" w:rsidRPr="00C169DB" w:rsidRDefault="00D34CAB" w:rsidP="00D34CAB">
      <w:pPr>
        <w:numPr>
          <w:ilvl w:val="0"/>
          <w:numId w:val="23"/>
        </w:numPr>
        <w:spacing w:after="240"/>
        <w:ind w:left="1445" w:hanging="181"/>
        <w:contextualSpacing/>
        <w:rPr>
          <w:rFonts w:ascii="TitilliumText25L" w:eastAsiaTheme="minorHAnsi" w:hAnsi="TitilliumText25L" w:cstheme="minorHAnsi"/>
          <w:szCs w:val="20"/>
        </w:rPr>
      </w:pPr>
      <w:r w:rsidRPr="00C169DB">
        <w:rPr>
          <w:rFonts w:ascii="TitilliumText25L" w:eastAsiaTheme="minorHAnsi" w:hAnsi="TitilliumText25L" w:cstheme="minorHAnsi"/>
          <w:szCs w:val="20"/>
        </w:rPr>
        <w:t>Provide access to further information regarding a single unit transfusion guideline and patient blood management.</w:t>
      </w:r>
    </w:p>
    <w:p w:rsidR="00D34CAB" w:rsidRPr="00C169DB" w:rsidRDefault="00D34CAB" w:rsidP="00D34CAB">
      <w:pPr>
        <w:numPr>
          <w:ilvl w:val="0"/>
          <w:numId w:val="21"/>
        </w:numPr>
        <w:spacing w:before="360" w:after="120"/>
        <w:ind w:left="714" w:hanging="357"/>
        <w:rPr>
          <w:rFonts w:ascii="TitilliumText25L" w:eastAsiaTheme="minorHAnsi" w:hAnsi="TitilliumText25L" w:cstheme="minorHAnsi"/>
        </w:rPr>
      </w:pPr>
      <w:r w:rsidRPr="00C169DB">
        <w:rPr>
          <w:rFonts w:ascii="TitilliumText25L" w:eastAsiaTheme="minorHAnsi" w:hAnsi="TitilliumText25L" w:cstheme="minorHAnsi"/>
        </w:rPr>
        <w:t>Benchmark data within local wards and divisions, and between health facility groups and clusters, and with external facilities. Benchmark within states and territories, and nationally.</w:t>
      </w:r>
    </w:p>
    <w:p w:rsidR="00601436" w:rsidRPr="00C169DB" w:rsidRDefault="00D34CAB" w:rsidP="009A6D55">
      <w:pPr>
        <w:numPr>
          <w:ilvl w:val="0"/>
          <w:numId w:val="21"/>
        </w:numPr>
        <w:spacing w:after="120"/>
        <w:ind w:left="717" w:hanging="357"/>
        <w:rPr>
          <w:rFonts w:ascii="TitilliumText25L" w:eastAsiaTheme="minorHAnsi" w:hAnsi="TitilliumText25L" w:cstheme="minorHAnsi"/>
          <w:vertAlign w:val="superscript"/>
        </w:rPr>
      </w:pPr>
      <w:r w:rsidRPr="00C169DB">
        <w:rPr>
          <w:rFonts w:ascii="TitilliumText25L" w:eastAsiaTheme="minorHAnsi" w:hAnsi="TitilliumText25L" w:cstheme="minorHAnsi"/>
        </w:rPr>
        <w:t>This activity will demonstrate compliance with National Health and Safety in Health Care Standard 7: Blood and Blood Products:</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"Australian Commission on Safety and Quality in Healthcare", "given" : "", "non-dropping-particle" : "", "parse-names" : false, "suffix" : "" } ], "container-title" : "ACSQHC", "id" : "ITEM-1", "issued" : { "date-parts" : [ [ "2012" ] ] }, "title" : "Safety and Quality Improvement Guide Standard 7: Blood and Blood Products", "type" : "book" }, "uris" : [ "http://www.mendeley.com/documents/?uuid=bc00cee3-5cc2-41e6-8c61-bd93566fb71a" ] } ], "mendeley" : { "previouslyFormattedCitation" : "&lt;sup&gt;8&lt;/sup&gt;"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8</w:t>
      </w:r>
      <w:r w:rsidRPr="00C169DB">
        <w:rPr>
          <w:rFonts w:ascii="TitilliumText25L" w:eastAsiaTheme="minorHAnsi" w:hAnsi="TitilliumText25L" w:cstheme="minorHAnsi"/>
        </w:rPr>
        <w:fldChar w:fldCharType="end"/>
      </w:r>
      <w:r w:rsidR="009A6D55" w:rsidRPr="00C169DB">
        <w:rPr>
          <w:rFonts w:ascii="TitilliumText25L" w:eastAsiaTheme="minorHAnsi" w:hAnsi="TitilliumText25L" w:cstheme="minorHAnsi"/>
          <w:vertAlign w:val="superscript"/>
        </w:rPr>
        <w:t xml:space="preserve"> </w:t>
      </w:r>
      <w:r w:rsidR="009A6D55" w:rsidRPr="00C169DB">
        <w:rPr>
          <w:rFonts w:ascii="TitilliumText25L" w:eastAsiaTheme="minorHAnsi" w:hAnsi="TitilliumText25L" w:cstheme="minorHAnsi"/>
        </w:rPr>
        <w:t xml:space="preserve"> </w:t>
      </w:r>
      <w:r w:rsidRPr="00C169DB">
        <w:rPr>
          <w:rFonts w:ascii="TitilliumText25L" w:eastAsiaTheme="minorHAnsi" w:hAnsi="TitilliumText25L" w:cstheme="minorHAnsi"/>
        </w:rPr>
        <w:t>7.1.2 The use of policies, procedures and/or protocols is regularly monitored.</w:t>
      </w:r>
    </w:p>
    <w:p w:rsidR="00601436" w:rsidRPr="00C169DB" w:rsidRDefault="00601436">
      <w:pPr>
        <w:rPr>
          <w:rFonts w:ascii="TitilliumText25L" w:eastAsiaTheme="minorHAnsi" w:hAnsi="TitilliumText25L" w:cstheme="minorHAnsi"/>
        </w:rPr>
      </w:pPr>
      <w:r w:rsidRPr="00C169DB">
        <w:rPr>
          <w:rFonts w:ascii="TitilliumText25L" w:eastAsiaTheme="minorHAnsi" w:hAnsi="TitilliumText25L" w:cstheme="minorHAnsi"/>
        </w:rPr>
        <w:br w:type="page"/>
      </w:r>
    </w:p>
    <w:p w:rsidR="009A6D55" w:rsidRPr="00C169DB" w:rsidRDefault="00D34CAB" w:rsidP="009A6D55">
      <w:pPr>
        <w:pStyle w:val="Heading4"/>
        <w:numPr>
          <w:ilvl w:val="0"/>
          <w:numId w:val="17"/>
        </w:numPr>
        <w:spacing w:after="120"/>
        <w:ind w:left="357" w:hanging="357"/>
        <w:contextualSpacing/>
        <w:rPr>
          <w:rFonts w:ascii="TitilliumText25L" w:eastAsiaTheme="minorHAnsi" w:hAnsi="TitilliumText25L" w:cstheme="minorHAnsi"/>
          <w:b w:val="0"/>
        </w:rPr>
      </w:pPr>
      <w:r w:rsidRPr="00C169DB">
        <w:rPr>
          <w:rFonts w:ascii="TitilliumText25L" w:hAnsi="TitilliumText25L"/>
          <w:color w:val="C60C30"/>
          <w:sz w:val="32"/>
          <w:szCs w:val="32"/>
        </w:rPr>
        <w:t>Examples of promotional material</w:t>
      </w:r>
      <w:r w:rsidRPr="00C169DB">
        <w:rPr>
          <w:rFonts w:ascii="TitilliumText25L" w:eastAsiaTheme="minorHAnsi" w:hAnsi="TitilliumText25L"/>
          <w:color w:val="C60C30"/>
        </w:rPr>
        <w:t xml:space="preserve"> </w:t>
      </w:r>
      <w:r w:rsidRPr="00C169DB">
        <w:rPr>
          <w:rFonts w:ascii="TitilliumText25L" w:eastAsiaTheme="minorHAnsi" w:hAnsi="TitilliumText25L" w:cstheme="minorHAnsi"/>
          <w:b w:val="0"/>
        </w:rPr>
        <w:t>– see supporting material</w:t>
      </w:r>
      <w:r w:rsidR="009A6D55" w:rsidRPr="00C169DB">
        <w:rPr>
          <w:rFonts w:ascii="TitilliumText25L" w:eastAsiaTheme="minorHAnsi" w:hAnsi="TitilliumText25L" w:cstheme="minorHAnsi"/>
          <w:b w:val="0"/>
        </w:rPr>
        <w:t xml:space="preserve"> on the National Blood Authority website – </w:t>
      </w:r>
      <w:hyperlink r:id="rId52" w:history="1">
        <w:r w:rsidR="009A6D55" w:rsidRPr="00C169DB">
          <w:rPr>
            <w:rStyle w:val="Hyperlink"/>
            <w:rFonts w:ascii="TitilliumText25L" w:eastAsiaTheme="minorHAnsi" w:hAnsi="TitilliumText25L" w:cstheme="minorHAnsi"/>
            <w:b w:val="0"/>
          </w:rPr>
          <w:t>www.blood.gov.au</w:t>
        </w:r>
      </w:hyperlink>
      <w:r w:rsidR="009A6D55" w:rsidRPr="00C169DB">
        <w:rPr>
          <w:rFonts w:ascii="TitilliumText25L" w:eastAsiaTheme="minorHAnsi" w:hAnsi="TitilliumText25L" w:cstheme="minorHAnsi"/>
          <w:b w:val="0"/>
        </w:rPr>
        <w:t xml:space="preserve"> </w:t>
      </w:r>
    </w:p>
    <w:p w:rsidR="00D34CAB" w:rsidRPr="00C169DB" w:rsidRDefault="00D34CAB" w:rsidP="00D34CAB">
      <w:pPr>
        <w:numPr>
          <w:ilvl w:val="0"/>
          <w:numId w:val="16"/>
        </w:numPr>
        <w:spacing w:after="120"/>
        <w:ind w:left="709" w:hanging="357"/>
        <w:rPr>
          <w:rFonts w:ascii="TitilliumText25L" w:eastAsiaTheme="minorHAnsi" w:hAnsi="TitilliumText25L" w:cstheme="minorHAnsi"/>
        </w:rPr>
      </w:pPr>
      <w:r w:rsidRPr="00C169DB">
        <w:rPr>
          <w:rFonts w:ascii="TitilliumText25L" w:eastAsiaTheme="minorHAnsi" w:hAnsi="TitilliumText25L" w:cstheme="minorHAnsi"/>
        </w:rPr>
        <w:t xml:space="preserve">Posters </w:t>
      </w:r>
    </w:p>
    <w:p w:rsidR="00D34CAB" w:rsidRPr="00C169DB" w:rsidRDefault="00D34CAB" w:rsidP="00D34CAB">
      <w:pPr>
        <w:numPr>
          <w:ilvl w:val="0"/>
          <w:numId w:val="16"/>
        </w:numPr>
        <w:spacing w:after="120"/>
        <w:ind w:left="709" w:hanging="357"/>
        <w:rPr>
          <w:rFonts w:ascii="TitilliumText25L" w:eastAsiaTheme="minorHAnsi" w:hAnsi="TitilliumText25L" w:cstheme="minorHAnsi"/>
        </w:rPr>
      </w:pPr>
      <w:r w:rsidRPr="00C169DB">
        <w:rPr>
          <w:rFonts w:ascii="TitilliumText25L" w:eastAsiaTheme="minorHAnsi" w:hAnsi="TitilliumText25L" w:cstheme="minorHAnsi"/>
        </w:rPr>
        <w:t>PowerPoint Presentation</w:t>
      </w:r>
    </w:p>
    <w:p w:rsidR="00D34CAB" w:rsidRPr="00C169DB" w:rsidRDefault="00D34CAB" w:rsidP="00D34CAB">
      <w:pPr>
        <w:numPr>
          <w:ilvl w:val="0"/>
          <w:numId w:val="16"/>
        </w:numPr>
        <w:spacing w:after="120"/>
        <w:ind w:left="709" w:hanging="357"/>
        <w:rPr>
          <w:rFonts w:ascii="TitilliumText25L" w:eastAsiaTheme="minorHAnsi" w:hAnsi="TitilliumText25L" w:cstheme="minorHAnsi"/>
        </w:rPr>
      </w:pPr>
      <w:r w:rsidRPr="00C169DB">
        <w:rPr>
          <w:rFonts w:ascii="TitilliumText25L" w:eastAsiaTheme="minorHAnsi" w:hAnsi="TitilliumText25L" w:cstheme="minorHAnsi"/>
        </w:rPr>
        <w:t>Handout for staff</w:t>
      </w:r>
    </w:p>
    <w:p w:rsidR="00D34CAB" w:rsidRPr="00C169DB" w:rsidRDefault="00D34CAB" w:rsidP="00D34CAB">
      <w:pPr>
        <w:pStyle w:val="Heading4"/>
        <w:numPr>
          <w:ilvl w:val="0"/>
          <w:numId w:val="17"/>
        </w:numPr>
        <w:rPr>
          <w:rFonts w:ascii="TitilliumText25L" w:hAnsi="TitilliumText25L"/>
          <w:color w:val="C60C30"/>
          <w:sz w:val="32"/>
          <w:szCs w:val="32"/>
        </w:rPr>
      </w:pPr>
      <w:r w:rsidRPr="00C169DB">
        <w:rPr>
          <w:rFonts w:ascii="TitilliumText25L" w:hAnsi="TitilliumText25L"/>
          <w:color w:val="C60C30"/>
          <w:sz w:val="32"/>
          <w:szCs w:val="32"/>
        </w:rPr>
        <w:t>Other Successful Programs</w:t>
      </w:r>
    </w:p>
    <w:p w:rsidR="00D34CAB" w:rsidRPr="00C169DB" w:rsidRDefault="00D34CAB" w:rsidP="00D34CAB">
      <w:pPr>
        <w:spacing w:after="120"/>
        <w:rPr>
          <w:rFonts w:ascii="TitilliumText25L" w:eastAsiaTheme="minorHAnsi" w:hAnsi="TitilliumText25L" w:cstheme="minorHAnsi"/>
          <w:vertAlign w:val="superscript"/>
        </w:rPr>
      </w:pPr>
      <w:r w:rsidRPr="00C169DB">
        <w:rPr>
          <w:rFonts w:ascii="TitilliumText25L" w:eastAsiaTheme="minorHAnsi" w:hAnsi="TitilliumText25L" w:cstheme="minorHAnsi"/>
          <w:b/>
        </w:rPr>
        <w:t>Australia:</w:t>
      </w:r>
      <w:r w:rsidRPr="00C169DB">
        <w:rPr>
          <w:rFonts w:ascii="TitilliumText25L" w:eastAsiaTheme="minorHAnsi" w:hAnsi="TitilliumText25L" w:cstheme="minorHAnsi"/>
        </w:rPr>
        <w:t xml:space="preserve"> The Western Australian Government implemented the Patient Blood Management Project, with a single unit transfusion “rule” in 2011.</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"Western Australia Government", "given" : "", "non-dropping-particle" : "", "parse-names" : false, "suffix" : "" } ], "id" : "ITEM-1", "issued" : { "date-parts" : [ [ "2012" ] ] }, "title" : "Single Unit Rule: A Quick Start Guide to Transfusion Reduction", "type" : "article-journal" }, "uris" : [ "http://www.mendeley.com/documents/?uuid=248e6614-4e99-4662-8633-f3534d49d192" ] } ], "mendeley" : { "previouslyFormattedCitation" : "&lt;sup&gt;5&lt;/sup&gt;"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5</w:t>
      </w:r>
      <w:r w:rsidRPr="00C169DB">
        <w:rPr>
          <w:rFonts w:ascii="TitilliumText25L" w:eastAsiaTheme="minorHAnsi" w:hAnsi="TitilliumText25L" w:cstheme="minorHAnsi"/>
        </w:rPr>
        <w:fldChar w:fldCharType="end"/>
      </w:r>
      <w:r w:rsidRPr="00C169DB" w:rsidDel="00050411">
        <w:rPr>
          <w:rFonts w:ascii="TitilliumText25L" w:eastAsiaTheme="minorHAnsi" w:hAnsi="TitilliumText25L" w:cstheme="minorHAnsi"/>
          <w:vertAlign w:val="superscript"/>
        </w:rPr>
        <w:t xml:space="preserve"> </w:t>
      </w:r>
    </w:p>
    <w:p w:rsidR="00D34CAB" w:rsidRPr="00C169DB" w:rsidRDefault="00D34CAB" w:rsidP="00D34CAB">
      <w:pPr>
        <w:spacing w:after="120"/>
        <w:rPr>
          <w:rFonts w:ascii="TitilliumText25L" w:eastAsiaTheme="minorHAnsi" w:hAnsi="TitilliumText25L" w:cstheme="minorHAnsi"/>
        </w:rPr>
      </w:pPr>
      <w:r w:rsidRPr="00C169DB">
        <w:rPr>
          <w:rFonts w:ascii="TitilliumText25L" w:eastAsiaTheme="minorHAnsi" w:hAnsi="TitilliumText25L" w:cstheme="minorHAnsi"/>
          <w:b/>
        </w:rPr>
        <w:t>New Zealand</w:t>
      </w:r>
      <w:r w:rsidRPr="00C169DB">
        <w:rPr>
          <w:rFonts w:ascii="TitilliumText25L" w:eastAsiaTheme="minorHAnsi" w:hAnsi="TitilliumText25L" w:cstheme="minorHAnsi"/>
        </w:rPr>
        <w:t xml:space="preserve">: The Auckland District Health Board </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"Ombler", "given" : "Kathy", "non-dropping-particle" : "", "parse-names" : false, "suffix" : "" } ], "container-title" : "Public Sector", "id" : "ITEM-1", "issued" : { "date-parts" : [ [ "2013" ] ] }, "title" : "Blood is a Gift. Project of Auckland District Health Board Transfusion Committee", "type" : "article-journal", "volume" : "36:1" }, "uris" : [ "http://www.mendeley.com/documents/?uuid=6e73276e-0f8a-413a-823d-f82367ec4b71" ] } ], "mendeley" : { "previouslyFormattedCitation" : "&lt;sup&gt;9&lt;/sup&gt;"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9</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vertAlign w:val="superscript"/>
        </w:rPr>
        <w:t xml:space="preserve"> </w:t>
      </w:r>
      <w:r w:rsidRPr="00C169DB">
        <w:rPr>
          <w:rFonts w:ascii="TitilliumText25L" w:eastAsiaTheme="minorHAnsi" w:hAnsi="TitilliumText25L" w:cstheme="minorHAnsi"/>
        </w:rPr>
        <w:t xml:space="preserve">introduced patient blood management and a single unit transfusion policy in 2010. </w:t>
      </w:r>
    </w:p>
    <w:p w:rsidR="00D34CAB" w:rsidRPr="00C169DB" w:rsidRDefault="00D34CAB" w:rsidP="00D34CAB">
      <w:pPr>
        <w:spacing w:after="120"/>
        <w:rPr>
          <w:rFonts w:ascii="TitilliumText25L" w:eastAsia="Times New Roman" w:hAnsi="TitilliumText25L" w:cstheme="minorHAnsi"/>
          <w:lang w:eastAsia="en-AU"/>
        </w:rPr>
      </w:pPr>
      <w:r w:rsidRPr="00C169DB">
        <w:rPr>
          <w:rFonts w:ascii="TitilliumText25L" w:eastAsia="Times New Roman" w:hAnsi="TitilliumText25L" w:cstheme="minorHAnsi"/>
          <w:b/>
          <w:lang w:eastAsia="en-AU"/>
        </w:rPr>
        <w:t>Canada</w:t>
      </w:r>
      <w:r w:rsidRPr="00C169DB">
        <w:rPr>
          <w:rFonts w:ascii="TitilliumText25L" w:eastAsia="Times New Roman" w:hAnsi="TitilliumText25L" w:cstheme="minorHAnsi"/>
          <w:lang w:eastAsia="en-AU"/>
        </w:rPr>
        <w:t>: St. Michael’s Hospital in Toronto,</w:t>
      </w:r>
      <w:r w:rsidRPr="00C169DB">
        <w:rPr>
          <w:rFonts w:ascii="TitilliumText25L" w:eastAsia="Times New Roman" w:hAnsi="TitilliumText25L" w:cstheme="minorHAnsi"/>
          <w:b/>
          <w:lang w:eastAsia="en-AU"/>
        </w:rPr>
        <w:fldChar w:fldCharType="begin" w:fldLock="1"/>
      </w:r>
      <w:r w:rsidRPr="00C169DB">
        <w:rPr>
          <w:rFonts w:ascii="TitilliumText25L" w:eastAsia="Times New Roman" w:hAnsi="TitilliumText25L" w:cstheme="minorHAnsi"/>
          <w:b/>
          <w:lang w:eastAsia="en-AU"/>
        </w:rPr>
        <w:instrText>ADDIN CSL_CITATION { "citationItems" : [ { "id" : "ITEM-1", "itemData" : { "URL" : "http://www.stmichaelshospital.com/media/detail.php?source=hospital_news/2012/20120913a_hn", "author" : [ { "dropping-particle" : "", "family" : "Shepherd", "given" : "Leslie", "non-dropping-particle" : "", "parse-names" : false, "suffix" : "" } ], "container-title" : "St Michael's Hospital, Toronto Canada", "id" : "ITEM-1", "issued" : { "date-parts" : [ [ "0" ] ] }, "title" : "St. Michael\u2019s to create centre for patient blood management", "type" : "webpage" }, "uris" : [ "http://www.mendeley.com/documents/?uuid=e515e749-0352-48e2-bc02-b6350dc2deae" ] } ], "mendeley" : { "previouslyFormattedCitation" : "&lt;sup&gt;10&lt;/sup&gt;" }, "properties" : { "noteIndex" : 0 }, "schema" : "https://github.com/citation-style-language/schema/raw/master/csl-citation.json" }</w:instrText>
      </w:r>
      <w:r w:rsidRPr="00C169DB">
        <w:rPr>
          <w:rFonts w:ascii="TitilliumText25L" w:eastAsia="Times New Roman" w:hAnsi="TitilliumText25L" w:cstheme="minorHAnsi"/>
          <w:b/>
          <w:lang w:eastAsia="en-AU"/>
        </w:rPr>
        <w:fldChar w:fldCharType="separate"/>
      </w:r>
      <w:r w:rsidRPr="00C169DB">
        <w:rPr>
          <w:rFonts w:ascii="TitilliumText25L" w:eastAsia="Times New Roman" w:hAnsi="TitilliumText25L" w:cstheme="minorHAnsi"/>
          <w:noProof/>
          <w:vertAlign w:val="superscript"/>
          <w:lang w:eastAsia="en-AU"/>
        </w:rPr>
        <w:t>10</w:t>
      </w:r>
      <w:r w:rsidRPr="00C169DB">
        <w:rPr>
          <w:rFonts w:ascii="TitilliumText25L" w:eastAsia="Times New Roman" w:hAnsi="TitilliumText25L" w:cstheme="minorHAnsi"/>
          <w:b/>
          <w:lang w:eastAsia="en-AU"/>
        </w:rPr>
        <w:fldChar w:fldCharType="end"/>
      </w:r>
      <w:r w:rsidRPr="00C169DB">
        <w:rPr>
          <w:rFonts w:ascii="TitilliumText25L" w:eastAsia="Times New Roman" w:hAnsi="TitilliumText25L" w:cstheme="minorHAnsi"/>
          <w:lang w:eastAsia="en-AU"/>
        </w:rPr>
        <w:t xml:space="preserve"> became one of the first in Canada to implement a blood conservation program in 1998. The Ontario Transfusion Coordinators (ONTraC) program administered through St. Michael’s sets the standard in the province for patient blood management. </w:t>
      </w:r>
    </w:p>
    <w:p w:rsidR="00D34CAB" w:rsidRPr="00C169DB" w:rsidRDefault="00D34CAB" w:rsidP="00D34CAB">
      <w:pPr>
        <w:spacing w:after="120"/>
        <w:rPr>
          <w:rFonts w:ascii="TitilliumText25L" w:eastAsiaTheme="minorHAnsi" w:hAnsi="TitilliumText25L" w:cstheme="minorHAnsi"/>
          <w:vertAlign w:val="superscript"/>
        </w:rPr>
      </w:pPr>
      <w:r w:rsidRPr="00C169DB">
        <w:rPr>
          <w:rFonts w:ascii="TitilliumText25L" w:eastAsiaTheme="minorHAnsi" w:hAnsi="TitilliumText25L" w:cstheme="minorHAnsi"/>
          <w:b/>
        </w:rPr>
        <w:t>USA:</w:t>
      </w:r>
      <w:r w:rsidRPr="00C169DB">
        <w:rPr>
          <w:rFonts w:ascii="TitilliumText25L" w:eastAsiaTheme="minorHAnsi" w:hAnsi="TitilliumText25L" w:cstheme="minorHAnsi"/>
        </w:rPr>
        <w:t xml:space="preserve"> Eastern Maine Medical Centre, Bangor.</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"URL" : "http://www.emmc.org/blood_management.aspx?id=36102", "author" : [ { "dropping-particle" : "", "family" : "Eastern Maine Medical Center", "given" : "", "non-dropping-particle" : "", "parse-names" : false, "suffix" : "" } ], "id" : "ITEM-1", "issued" : { "date-parts" : [ [ "2007" ] ] }, "title" : "Patient Blood Management Program", "type" : "webpage" }, "uris" : [ "http://www.mendeley.com/documents/?uuid=13ad8daa-fc37-484a-89d3-42ad996b0702" ] } ], "mendeley" : { "previouslyFormattedCitation" : "&lt;sup&gt;11&lt;/sup&gt;"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11</w:t>
      </w:r>
      <w:r w:rsidRPr="00C169DB">
        <w:rPr>
          <w:rFonts w:ascii="TitilliumText25L" w:eastAsiaTheme="minorHAnsi" w:hAnsi="TitilliumText25L" w:cstheme="minorHAnsi"/>
        </w:rPr>
        <w:fldChar w:fldCharType="end"/>
      </w:r>
    </w:p>
    <w:p w:rsidR="00D34CAB" w:rsidRPr="00C169DB" w:rsidRDefault="00D34CAB" w:rsidP="00D34CAB">
      <w:pPr>
        <w:spacing w:after="120"/>
        <w:rPr>
          <w:rFonts w:ascii="TitilliumText25L" w:eastAsiaTheme="minorHAnsi" w:hAnsi="TitilliumText25L" w:cstheme="minorHAnsi"/>
          <w:b/>
          <w:vertAlign w:val="superscript"/>
        </w:rPr>
      </w:pPr>
      <w:r w:rsidRPr="00C169DB">
        <w:rPr>
          <w:rFonts w:ascii="TitilliumText25L" w:eastAsiaTheme="minorHAnsi" w:hAnsi="TitilliumText25L" w:cstheme="minorHAnsi"/>
          <w:b/>
        </w:rPr>
        <w:t>Europe:</w:t>
      </w:r>
      <w:r w:rsidRPr="00C169DB">
        <w:rPr>
          <w:rFonts w:ascii="TitilliumText25L" w:eastAsiaTheme="minorHAnsi" w:hAnsi="TitilliumText25L" w:cstheme="minorHAnsi"/>
          <w:b/>
        </w:rPr>
        <w:fldChar w:fldCharType="begin" w:fldLock="1"/>
      </w:r>
      <w:r w:rsidRPr="00C169DB">
        <w:rPr>
          <w:rFonts w:ascii="TitilliumText25L" w:eastAsiaTheme="minorHAnsi" w:hAnsi="TitilliumText25L" w:cstheme="minorHAnsi"/>
          <w:b/>
        </w:rPr>
        <w:instrText>ADDIN CSL_CITATION { "citationItems" : [ { "id" : "ITEM-1", "itemData" : { "DOI" : "10.1093/bja/aes139", "author" : [ { "dropping-particle" : "", "family" : "Shander", "given" : "A", "non-dropping-particle" : "", "parse-names" : false, "suffix" : "" }, { "dropping-particle" : "Van", "family" : "Aken", "given" : "H", "non-dropping-particle" : "", "parse-names" : false, "suffix" : "" }, { "dropping-particle" : "", "family" : "Colomina", "given" : "M J", "non-dropping-particle" : "", "parse-names" : false, "suffix" : "" }, { "dropping-particle" : "", "family" : "Gombotz", "given" : "H", "non-dropping-particle" : "", "parse-names" : false, "suffix" : "" }, { "dropping-particle" : "", "family" : "Hofmann", "given" : "A", "non-dropping-particle" : "", "parse-names" : false, "suffix" : "" }, { "dropping-particle" : "", "family" : "Krauspe", "given" : "R", "non-dropping-particle" : "", "parse-names" : false, "suffix" : "" }, { "dropping-particle" : "", "family" : "Lasocki", "given" : "S", "non-dropping-particle" : "", "parse-names" : false, "suffix" : "" }, { "dropping-particle" : "", "family" : "Richards", "given" : "T", "non-dropping-particle" : "", "parse-names" : false, "suffix" : "" }, { "dropping-particle" : "", "family" : "Slappendel", "given" : "R", "non-dropping-particle" : "", "parse-names" : false, "suffix" : "" }, { "dropping-particle" : "", "family" : "Spahn", "given" : "D R", "non-dropping-particle" : "", "parse-names" : false, "suffix" : "" } ], "id" : "ITEM-1", "issue" : "May", "issued" : { "date-parts" : [ [ "2012" ] ] }, "page" : "55-68", "title" : "Patient blood management in Europe", "type" : "article-journal", "volume" : "109" }, "uris" : [ "http://www.mendeley.com/documents/?uuid=1d21447f-1cb5-4790-bcb0-3e57753fd18a" ] } ], "mendeley" : { "previouslyFormattedCitation" : "&lt;sup&gt;12&lt;/sup&gt;" }, "properties" : { "noteIndex" : 0 }, "schema" : "https://github.com/citation-style-language/schema/raw/master/csl-citation.json" }</w:instrText>
      </w:r>
      <w:r w:rsidRPr="00C169DB">
        <w:rPr>
          <w:rFonts w:ascii="TitilliumText25L" w:eastAsiaTheme="minorHAnsi" w:hAnsi="TitilliumText25L" w:cstheme="minorHAnsi"/>
          <w:b/>
        </w:rPr>
        <w:fldChar w:fldCharType="separate"/>
      </w:r>
      <w:r w:rsidRPr="00C169DB">
        <w:rPr>
          <w:rFonts w:ascii="TitilliumText25L" w:eastAsiaTheme="minorHAnsi" w:hAnsi="TitilliumText25L" w:cstheme="minorHAnsi"/>
          <w:noProof/>
          <w:vertAlign w:val="superscript"/>
        </w:rPr>
        <w:t>12</w:t>
      </w:r>
      <w:r w:rsidRPr="00C169DB">
        <w:rPr>
          <w:rFonts w:ascii="TitilliumText25L" w:eastAsiaTheme="minorHAnsi" w:hAnsi="TitilliumText25L" w:cstheme="minorHAnsi"/>
          <w:b/>
        </w:rPr>
        <w:fldChar w:fldCharType="end"/>
      </w:r>
      <w:r w:rsidRPr="00C169DB">
        <w:rPr>
          <w:rFonts w:ascii="TitilliumText25L" w:eastAsiaTheme="minorHAnsi" w:hAnsi="TitilliumText25L" w:cstheme="minorHAnsi"/>
          <w:color w:val="00B050"/>
          <w:vertAlign w:val="superscript"/>
        </w:rPr>
        <w:t xml:space="preserve"> </w:t>
      </w:r>
      <w:r w:rsidRPr="00C169DB">
        <w:rPr>
          <w:rFonts w:ascii="TitilliumText25L" w:eastAsiaTheme="minorHAnsi" w:hAnsi="TitilliumText25L" w:cstheme="minorHAnsi"/>
        </w:rPr>
        <w:t>Patient blood management strategies have been established in some hospitals in Austria and Switzerland.</w:t>
      </w:r>
      <w:r w:rsidRPr="00C169DB">
        <w:rPr>
          <w:rFonts w:ascii="TitilliumText25L" w:eastAsiaTheme="minorHAnsi" w:hAnsi="TitilliumText25L" w:cstheme="minorHAnsi"/>
          <w:b/>
          <w:vertAlign w:val="superscript"/>
        </w:rPr>
        <w:t xml:space="preserve"> </w:t>
      </w:r>
      <w:r w:rsidRPr="00C169DB">
        <w:rPr>
          <w:rFonts w:ascii="TitilliumText25L" w:eastAsiaTheme="minorHAnsi" w:hAnsi="TitilliumText25L" w:cstheme="minorHAnsi"/>
        </w:rPr>
        <w:t>The Netherlands have had a patient blood management program for ten years.</w:t>
      </w:r>
    </w:p>
    <w:p w:rsidR="009A6D55" w:rsidRPr="00C169DB" w:rsidRDefault="00D34CAB" w:rsidP="00D34CAB">
      <w:pPr>
        <w:spacing w:after="120"/>
        <w:rPr>
          <w:rFonts w:ascii="TitilliumText25L" w:hAnsi="TitilliumText25L"/>
          <w:u w:val="single"/>
        </w:rPr>
      </w:pPr>
      <w:r w:rsidRPr="00C169DB">
        <w:rPr>
          <w:rFonts w:ascii="TitilliumText25L" w:eastAsia="Calibri" w:hAnsi="TitilliumText25L"/>
          <w:spacing w:val="2"/>
          <w:szCs w:val="19"/>
          <w:lang w:val="en-US"/>
        </w:rPr>
        <w:t>The United Kingdom Blood Transfusion &amp; Tissue Transplantation Services “</w:t>
      </w:r>
      <w:r w:rsidRPr="00C169DB">
        <w:rPr>
          <w:rFonts w:ascii="TitilliumText25L" w:eastAsiaTheme="minorHAnsi" w:hAnsi="TitilliumText25L" w:cstheme="minorHAnsi"/>
        </w:rPr>
        <w:t>Better Blood Transfusion” Toolkit</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"URL" : "http://www.transfusionguidelines.org.uk/index.aspx?Publication=BBT&amp;Section=22", "author" : [ { "dropping-particle" : "", "family" : "UK Blood Transfusion Services", "given" : "", "non-dropping-particle" : "", "parse-names" : false, "suffix" : "" }, { "dropping-particle" : "", "family" : "Department of Health", "given" : "", "non-dropping-particle" : "", "parse-names" : false, "suffix" : "" } ], "id" : "ITEM-1", "issued" : { "date-parts" : [ [ "2011" ] ] }, "title" : "UK Better Blood Transfusion Toolkit", "type" : "webpage" }, "uris" : [ "http://www.mendeley.com/documents/?uuid=60205c29-8f3b-4ca5-b58c-bf328f4f24c3" ] } ], "mendeley" : { "previouslyFormattedCitation" : "&lt;sup&gt;13&lt;/sup&gt;"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13</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includes statements on single unit red blood cell transfusion.</w:t>
      </w:r>
      <w:r w:rsidRPr="00C169DB">
        <w:rPr>
          <w:rFonts w:ascii="TitilliumText25L" w:hAnsi="TitilliumText25L"/>
          <w:u w:val="single"/>
        </w:rPr>
        <w:t xml:space="preserve"> </w:t>
      </w:r>
    </w:p>
    <w:p w:rsidR="009A6D55" w:rsidRPr="00C169DB" w:rsidRDefault="009A6D55">
      <w:pPr>
        <w:rPr>
          <w:rFonts w:ascii="TitilliumText25L" w:hAnsi="TitilliumText25L"/>
          <w:u w:val="single"/>
        </w:rPr>
      </w:pPr>
      <w:r w:rsidRPr="00C169DB">
        <w:rPr>
          <w:rFonts w:ascii="TitilliumText25L" w:hAnsi="TitilliumText25L"/>
          <w:u w:val="single"/>
        </w:rPr>
        <w:br w:type="page"/>
      </w:r>
    </w:p>
    <w:p w:rsidR="00D34CAB" w:rsidRPr="00C169DB" w:rsidRDefault="00D34CAB" w:rsidP="00D34CAB">
      <w:pPr>
        <w:pStyle w:val="Heading4"/>
        <w:rPr>
          <w:rFonts w:ascii="TitilliumText25L" w:hAnsi="TitilliumText25L"/>
          <w:color w:val="C60C30"/>
          <w:sz w:val="32"/>
          <w:szCs w:val="32"/>
        </w:rPr>
      </w:pPr>
      <w:r w:rsidRPr="00C169DB">
        <w:rPr>
          <w:rFonts w:ascii="TitilliumText25L" w:hAnsi="TitilliumText25L"/>
          <w:color w:val="C60C30"/>
          <w:sz w:val="32"/>
          <w:szCs w:val="32"/>
        </w:rPr>
        <w:t>Further Reading</w:t>
      </w:r>
    </w:p>
    <w:p w:rsidR="00D34CAB" w:rsidRPr="00C169DB" w:rsidRDefault="00D34CAB" w:rsidP="00D34CAB">
      <w:pPr>
        <w:rPr>
          <w:rFonts w:ascii="TitilliumText25L" w:hAnsi="TitilliumText25L"/>
        </w:rPr>
      </w:pPr>
      <w:r w:rsidRPr="00C169DB">
        <w:rPr>
          <w:rFonts w:ascii="TitilliumText25L" w:hAnsi="TitilliumText25L"/>
        </w:rPr>
        <w:t>The following list has been provided as a starting point for further reading:</w:t>
      </w:r>
    </w:p>
    <w:p w:rsidR="00D34CAB" w:rsidRPr="00C169DB" w:rsidRDefault="00D34CAB" w:rsidP="00BC0A0B">
      <w:pPr>
        <w:rPr>
          <w:rFonts w:ascii="TitilliumText25L" w:hAnsi="TitilliumText25L"/>
        </w:rPr>
      </w:pPr>
      <w:r w:rsidRPr="00C169DB">
        <w:rPr>
          <w:rFonts w:ascii="TitilliumText25L" w:hAnsi="TitilliumText25L"/>
        </w:rPr>
        <w:t xml:space="preserve">National Blood Authority (NBA) (2012). Patient Blood Management Guidelines NBA, Canberra, Australia. </w:t>
      </w:r>
      <w:hyperlink r:id="rId53" w:history="1">
        <w:r w:rsidRPr="00C169DB">
          <w:rPr>
            <w:rStyle w:val="Hyperlink"/>
            <w:rFonts w:ascii="TitilliumText25L" w:hAnsi="TitilliumText25L"/>
          </w:rPr>
          <w:t>http://www.blood.gov.au/pbm-guidelines</w:t>
        </w:r>
      </w:hyperlink>
      <w:r w:rsidRPr="00C169DB">
        <w:rPr>
          <w:rFonts w:ascii="TitilliumText25L" w:hAnsi="TitilliumText25L"/>
        </w:rPr>
        <w:t xml:space="preserve"> </w:t>
      </w:r>
    </w:p>
    <w:p w:rsidR="00D34CAB" w:rsidRPr="00C169DB" w:rsidRDefault="00D34CAB" w:rsidP="00BC0A0B">
      <w:pPr>
        <w:rPr>
          <w:rFonts w:ascii="TitilliumText25L" w:hAnsi="TitilliumText25L"/>
          <w:u w:val="single"/>
        </w:rPr>
      </w:pPr>
      <w:r w:rsidRPr="00C169DB">
        <w:rPr>
          <w:rFonts w:ascii="TitilliumText25L" w:hAnsi="TitilliumText25L"/>
        </w:rPr>
        <w:t>World Health Organisation, World Health Assembly, 2010, 63</w:t>
      </w:r>
      <w:r w:rsidRPr="00C169DB">
        <w:rPr>
          <w:rFonts w:ascii="TitilliumText25L" w:hAnsi="TitilliumText25L"/>
          <w:vertAlign w:val="superscript"/>
        </w:rPr>
        <w:t>rd</w:t>
      </w:r>
      <w:r w:rsidRPr="00C169DB">
        <w:rPr>
          <w:rFonts w:ascii="TitilliumText25L" w:hAnsi="TitilliumText25L"/>
        </w:rPr>
        <w:t xml:space="preserve"> Assembly. WHA63.12 Agenda item 11.17: Availability, safety and quality of blood products. 21 May 2010.Page 3: </w:t>
      </w:r>
      <w:hyperlink r:id="rId54" w:history="1">
        <w:r w:rsidRPr="00C169DB">
          <w:rPr>
            <w:rStyle w:val="Hyperlink"/>
            <w:rFonts w:ascii="TitilliumText25L" w:hAnsi="TitilliumText25L"/>
          </w:rPr>
          <w:t>www.who.int/bloodsafety/BTS_Resolutionsadopted.pdf</w:t>
        </w:r>
      </w:hyperlink>
    </w:p>
    <w:p w:rsidR="00D34CAB" w:rsidRPr="00C169DB" w:rsidRDefault="00D34CAB" w:rsidP="00BC0A0B">
      <w:pPr>
        <w:rPr>
          <w:rFonts w:ascii="TitilliumText25L" w:hAnsi="TitilliumText25L"/>
        </w:rPr>
      </w:pPr>
      <w:r w:rsidRPr="00C169DB">
        <w:rPr>
          <w:rFonts w:ascii="TitilliumText25L" w:hAnsi="TitilliumText25L"/>
        </w:rPr>
        <w:t xml:space="preserve">Hajjar LA Vincent JL et al. Transfusion requirements after cardiac surgery: the TRACS randomised controlled trial. </w:t>
      </w:r>
      <w:r w:rsidRPr="00C169DB">
        <w:rPr>
          <w:rFonts w:ascii="TitilliumText25L" w:hAnsi="TitilliumText25L"/>
          <w:iCs/>
        </w:rPr>
        <w:t>JAMA - Journal of the American Medical Association</w:t>
      </w:r>
      <w:r w:rsidRPr="00C169DB">
        <w:rPr>
          <w:rFonts w:ascii="TitilliumText25L" w:hAnsi="TitilliumText25L"/>
        </w:rPr>
        <w:t xml:space="preserve"> </w:t>
      </w:r>
      <w:r w:rsidRPr="00C169DB">
        <w:rPr>
          <w:rFonts w:ascii="TitilliumText25L" w:hAnsi="TitilliumText25L"/>
          <w:bCs/>
        </w:rPr>
        <w:t>304</w:t>
      </w:r>
      <w:r w:rsidRPr="00C169DB">
        <w:rPr>
          <w:rFonts w:ascii="TitilliumText25L" w:hAnsi="TitilliumText25L"/>
        </w:rPr>
        <w:t>, 304:1559–1567</w:t>
      </w:r>
    </w:p>
    <w:p w:rsidR="00D34CAB" w:rsidRPr="00C169DB" w:rsidRDefault="00D34CAB" w:rsidP="00BC0A0B">
      <w:pPr>
        <w:rPr>
          <w:rFonts w:ascii="TitilliumText25L" w:hAnsi="TitilliumText25L"/>
        </w:rPr>
      </w:pPr>
      <w:r w:rsidRPr="00C169DB">
        <w:rPr>
          <w:rFonts w:ascii="TitilliumText25L" w:hAnsi="TitilliumText25L"/>
        </w:rPr>
        <w:t>Shander A, et al. Review. (2012). A new perspective on best transfusion practices. Blood Transfus DOI 1032450/2012.0195-12</w:t>
      </w:r>
    </w:p>
    <w:p w:rsidR="00D34CAB" w:rsidRPr="00C169DB" w:rsidRDefault="00D34CAB" w:rsidP="00BC0A0B">
      <w:pPr>
        <w:rPr>
          <w:rFonts w:ascii="TitilliumText25L" w:hAnsi="TitilliumText25L"/>
        </w:rPr>
      </w:pPr>
      <w:r w:rsidRPr="00C169DB">
        <w:rPr>
          <w:rFonts w:ascii="TitilliumText25L" w:hAnsi="TitilliumText25L"/>
        </w:rPr>
        <w:t>Herbert PC, Wells G et al (1999). A Multicenter, Randomised, Controlled Clinical Trial of Transfusion Requirements in Critical Care (TRICC). N Engl J Med 1999;340 (6):409-17</w:t>
      </w:r>
    </w:p>
    <w:p w:rsidR="00D34CAB" w:rsidRPr="00C169DB" w:rsidRDefault="00D34CAB" w:rsidP="00BC0A0B">
      <w:pPr>
        <w:rPr>
          <w:rFonts w:ascii="TitilliumText25L" w:hAnsi="TitilliumText25L"/>
        </w:rPr>
      </w:pPr>
      <w:r w:rsidRPr="00C169DB">
        <w:rPr>
          <w:rFonts w:ascii="TitilliumText25L" w:hAnsi="TitilliumText25L"/>
        </w:rPr>
        <w:t>Transfusion requirements after cardiac surgery. JAMA 2010;304:1559-67.</w:t>
      </w:r>
    </w:p>
    <w:p w:rsidR="00D34CAB" w:rsidRPr="00C169DB" w:rsidRDefault="00BC0A0B" w:rsidP="00BC0A0B">
      <w:pPr>
        <w:rPr>
          <w:rFonts w:ascii="TitilliumText25L" w:hAnsi="TitilliumText25L"/>
        </w:rPr>
      </w:pPr>
      <w:r w:rsidRPr="00C169DB">
        <w:rPr>
          <w:rFonts w:ascii="TitilliumText25L" w:hAnsi="TitilliumText25L"/>
        </w:rPr>
        <w:t>C</w:t>
      </w:r>
      <w:r w:rsidR="00D34CAB" w:rsidRPr="00C169DB">
        <w:rPr>
          <w:rFonts w:ascii="TitilliumText25L" w:hAnsi="TitilliumText25L"/>
        </w:rPr>
        <w:t>arson JL et al. (2011). Liberal or restrictive transfusion in high-risk patients after hip surgery. N Engl J Med 2011;365(26):2453-62.</w:t>
      </w:r>
    </w:p>
    <w:p w:rsidR="00D34CAB" w:rsidRPr="00C169DB" w:rsidRDefault="00D34CAB" w:rsidP="00BC0A0B">
      <w:pPr>
        <w:ind w:left="360"/>
        <w:rPr>
          <w:rFonts w:ascii="TitilliumText25L" w:hAnsi="TitilliumText25L"/>
        </w:rPr>
      </w:pPr>
      <w:r w:rsidRPr="00C169DB">
        <w:rPr>
          <w:rFonts w:ascii="TitilliumText25L" w:hAnsi="TitilliumText25L"/>
        </w:rPr>
        <w:t xml:space="preserve">Carson JL et al. (2012). Transfusion thresholds and other strategies for guiding allogeneic red blood cell transfusion – Cochrane Review. Cochrane Database of Systematic Reviews 2012: Issue4   </w:t>
      </w:r>
    </w:p>
    <w:p w:rsidR="00D34CAB" w:rsidRPr="00C169DB" w:rsidRDefault="00D34CAB" w:rsidP="00BC0A0B">
      <w:pPr>
        <w:ind w:left="360"/>
        <w:rPr>
          <w:rFonts w:ascii="TitilliumText25L" w:hAnsi="TitilliumText25L"/>
        </w:rPr>
      </w:pPr>
      <w:r w:rsidRPr="00C169DB">
        <w:rPr>
          <w:rFonts w:ascii="TitilliumText25L" w:hAnsi="TitilliumText25L"/>
        </w:rPr>
        <w:t>Shander A, et al</w:t>
      </w:r>
      <w:r w:rsidRPr="00C169DB" w:rsidDel="006D43D8">
        <w:rPr>
          <w:rFonts w:ascii="TitilliumText25L" w:hAnsi="TitilliumText25L"/>
        </w:rPr>
        <w:t xml:space="preserve"> </w:t>
      </w:r>
      <w:r w:rsidRPr="00C169DB">
        <w:rPr>
          <w:rFonts w:ascii="TitilliumText25L" w:hAnsi="TitilliumText25L"/>
        </w:rPr>
        <w:t>(2011). Appropriateness of allogeneic red blood cell transfusion: the international consensus conference on transfusion outcomes.. Transfus Med Rev. 2011 Jul;25(3):232-246.e53 (15 Collaborators).</w:t>
      </w:r>
    </w:p>
    <w:p w:rsidR="00D34CAB" w:rsidRPr="00C169DB" w:rsidRDefault="00D34CAB" w:rsidP="00BC0A0B">
      <w:pPr>
        <w:ind w:left="360"/>
        <w:rPr>
          <w:rFonts w:ascii="TitilliumText25L" w:hAnsi="TitilliumText25L"/>
        </w:rPr>
      </w:pPr>
      <w:r w:rsidRPr="00C169DB">
        <w:rPr>
          <w:rFonts w:ascii="TitilliumText25L" w:hAnsi="TitilliumText25L"/>
        </w:rPr>
        <w:t>Warwick R. et al</w:t>
      </w:r>
      <w:r w:rsidRPr="00C169DB" w:rsidDel="00AA5242">
        <w:rPr>
          <w:rFonts w:ascii="TitilliumText25L" w:hAnsi="TitilliumText25L"/>
        </w:rPr>
        <w:t xml:space="preserve"> </w:t>
      </w:r>
      <w:r w:rsidRPr="00C169DB">
        <w:rPr>
          <w:rFonts w:ascii="TitilliumText25L" w:hAnsi="TitilliumText25L"/>
        </w:rPr>
        <w:t>(2013). Is single-unit blood transfusion bad post-coronary artery bypass surgery? Interact Cardiovasc Thorac Surg 2013 Jun;16(6):765-71.</w:t>
      </w:r>
    </w:p>
    <w:p w:rsidR="00D34CAB" w:rsidRPr="00C169DB" w:rsidRDefault="00D34CAB" w:rsidP="00BC0A0B">
      <w:pPr>
        <w:ind w:left="360"/>
        <w:rPr>
          <w:rFonts w:ascii="TitilliumText25L" w:hAnsi="TitilliumText25L"/>
        </w:rPr>
      </w:pPr>
      <w:r w:rsidRPr="00C169DB">
        <w:rPr>
          <w:rFonts w:ascii="TitilliumText25L" w:hAnsi="TitilliumText25L"/>
        </w:rPr>
        <w:t>Galas F, Almeida J et al. 2013.  Blood transfusion in cardiac surgery is a risk factor for increased hospital length of stay in adult patients. Journal of Cardiothoracic Surgery 2013, 8:54.</w:t>
      </w:r>
    </w:p>
    <w:p w:rsidR="00D34CAB" w:rsidRPr="00C169DB" w:rsidRDefault="00D34CAB" w:rsidP="00BC0A0B">
      <w:pPr>
        <w:ind w:left="360"/>
        <w:rPr>
          <w:rFonts w:ascii="TitilliumText25L" w:hAnsi="TitilliumText25L"/>
        </w:rPr>
      </w:pPr>
      <w:r w:rsidRPr="00C169DB">
        <w:rPr>
          <w:rFonts w:ascii="TitilliumText25L" w:hAnsi="TitilliumText25L"/>
        </w:rPr>
        <w:t>Villanueva C, Colomo A 2013.Transfusion Strategies for Acute Upper Gastrointestinal Bleeding. N Engl J Med 2013 Jan;368;1:11-21.</w:t>
      </w:r>
    </w:p>
    <w:p w:rsidR="00D34CAB" w:rsidRPr="00C169DB" w:rsidRDefault="00D34CAB" w:rsidP="00BC0A0B">
      <w:pPr>
        <w:pStyle w:val="NormalWeb"/>
        <w:ind w:left="360"/>
        <w:rPr>
          <w:rFonts w:ascii="TitilliumText25L" w:eastAsiaTheme="minorHAnsi" w:hAnsi="TitilliumText25L" w:cstheme="minorHAnsi"/>
          <w:sz w:val="22"/>
        </w:rPr>
      </w:pPr>
      <w:r w:rsidRPr="00C169DB">
        <w:rPr>
          <w:rFonts w:ascii="TitilliumText25L" w:eastAsia="Calibri" w:hAnsi="TitilliumText25L" w:cstheme="minorHAnsi"/>
          <w:sz w:val="22"/>
        </w:rPr>
        <w:t>The British Committee for Standards in Haematology(BCSH) (2012). Guidelines on the Administration of Blood Components.  Addendum to Administration of Blood Components, August 2012 pdf.</w:t>
      </w:r>
      <w:hyperlink r:id="rId55" w:history="1">
        <w:r w:rsidRPr="00C169DB">
          <w:rPr>
            <w:rStyle w:val="Hyperlink"/>
            <w:rFonts w:ascii="TitilliumText25L" w:eastAsia="Calibri" w:hAnsi="TitilliumText25L" w:cstheme="minorHAnsi"/>
            <w:sz w:val="22"/>
          </w:rPr>
          <w:t>http://www.bcshguidelines.com/documents/BCSH_Blood_Admin_-_addendum_August_2012.pdf</w:t>
        </w:r>
      </w:hyperlink>
    </w:p>
    <w:p w:rsidR="00D34CAB" w:rsidRPr="00C169DB" w:rsidRDefault="00D34CAB" w:rsidP="00BC0A0B">
      <w:pPr>
        <w:spacing w:after="120"/>
        <w:rPr>
          <w:rFonts w:ascii="TitilliumText25L" w:eastAsiaTheme="minorHAnsi" w:hAnsi="TitilliumText25L" w:cstheme="minorHAnsi"/>
        </w:rPr>
      </w:pPr>
    </w:p>
    <w:p w:rsidR="00D34CAB" w:rsidRPr="00C169DB" w:rsidRDefault="00D34CAB">
      <w:pPr>
        <w:rPr>
          <w:rFonts w:ascii="TitilliumText25L" w:hAnsi="TitilliumText25L" w:cs="Arial"/>
          <w:sz w:val="36"/>
          <w:szCs w:val="36"/>
        </w:rPr>
      </w:pPr>
      <w:r w:rsidRPr="00C169DB">
        <w:rPr>
          <w:rFonts w:ascii="TitilliumText25L" w:hAnsi="TitilliumText25L"/>
        </w:rPr>
        <w:br w:type="page"/>
      </w:r>
    </w:p>
    <w:p w:rsidR="00D34CAB" w:rsidRPr="00C169DB" w:rsidRDefault="00D34CAB" w:rsidP="00D35287">
      <w:pPr>
        <w:pStyle w:val="Heading4"/>
        <w:rPr>
          <w:rFonts w:ascii="TitilliumText25L" w:hAnsi="TitilliumText25L"/>
          <w:b w:val="0"/>
        </w:rPr>
      </w:pPr>
      <w:r w:rsidRPr="00C169DB">
        <w:rPr>
          <w:rFonts w:ascii="TitilliumText25L" w:hAnsi="TitilliumText25L"/>
          <w:color w:val="C60C30"/>
          <w:sz w:val="32"/>
          <w:szCs w:val="32"/>
        </w:rPr>
        <w:t>REFERENCES</w:t>
      </w:r>
      <w:r w:rsidRPr="00C169DB">
        <w:rPr>
          <w:rFonts w:ascii="TitilliumText25L" w:hAnsi="TitilliumText25L"/>
          <w:b w:val="0"/>
        </w:rPr>
        <w: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 xml:space="preserve">ADDIN Mendeley Bibliography CSL_BIBLIOGRAPHY </w:instrText>
      </w:r>
      <w:r w:rsidRPr="00C169DB">
        <w:rPr>
          <w:rFonts w:ascii="TitilliumText25L" w:eastAsiaTheme="minorHAnsi" w:hAnsi="TitilliumText25L" w:cstheme="minorHAnsi"/>
        </w:rPr>
        <w:fldChar w:fldCharType="separate"/>
      </w:r>
      <w:r w:rsidRPr="00C169DB">
        <w:rPr>
          <w:rFonts w:ascii="TitilliumText25L" w:hAnsi="TitilliumText25L" w:cs="Calibri"/>
          <w:noProof/>
          <w:sz w:val="22"/>
        </w:rPr>
        <w:t>1.</w:t>
      </w:r>
      <w:r w:rsidRPr="00C169DB">
        <w:rPr>
          <w:rFonts w:ascii="TitilliumText25L" w:hAnsi="TitilliumText25L" w:cs="Calibri"/>
          <w:noProof/>
          <w:sz w:val="22"/>
        </w:rPr>
        <w:tab/>
        <w:t xml:space="preserve">Hofmann, A., Farmer, S. &amp; Shander, A. Five drivers shifting the paradigm from product-focused transfusion practice to patient blood management. </w:t>
      </w:r>
      <w:r w:rsidRPr="00C169DB">
        <w:rPr>
          <w:rFonts w:ascii="TitilliumText25L" w:hAnsi="TitilliumText25L" w:cs="Calibri"/>
          <w:iCs/>
          <w:noProof/>
          <w:sz w:val="22"/>
        </w:rPr>
        <w:t>The oncologist</w:t>
      </w:r>
      <w:r w:rsidRPr="00C169DB">
        <w:rPr>
          <w:rFonts w:ascii="TitilliumText25L" w:hAnsi="TitilliumText25L" w:cs="Calibri"/>
          <w:noProof/>
          <w:sz w:val="22"/>
        </w:rPr>
        <w:t xml:space="preserve"> </w:t>
      </w:r>
      <w:r w:rsidRPr="00C169DB">
        <w:rPr>
          <w:rFonts w:ascii="TitilliumText25L" w:hAnsi="TitilliumText25L" w:cs="Calibri"/>
          <w:bCs/>
          <w:noProof/>
          <w:sz w:val="22"/>
        </w:rPr>
        <w:t>16 Suppl 3</w:t>
      </w:r>
      <w:r w:rsidRPr="00C169DB">
        <w:rPr>
          <w:rFonts w:ascii="TitilliumText25L" w:hAnsi="TitilliumText25L" w:cs="Calibri"/>
          <w:noProof/>
          <w:sz w:val="22"/>
        </w:rPr>
        <w:t>, 3–11 (2011).</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2.</w:t>
      </w:r>
      <w:r w:rsidRPr="00C169DB">
        <w:rPr>
          <w:rFonts w:ascii="TitilliumText25L" w:hAnsi="TitilliumText25L" w:cs="Calibri"/>
          <w:noProof/>
          <w:sz w:val="22"/>
        </w:rPr>
        <w:tab/>
        <w:t xml:space="preserve">Hofmann, A., Farmer, S. &amp; Towler, S. C. Strategies to preempt and reduce the use of blood products: an Australian perspective. </w:t>
      </w:r>
      <w:r w:rsidRPr="00C169DB">
        <w:rPr>
          <w:rFonts w:ascii="TitilliumText25L" w:hAnsi="TitilliumText25L" w:cs="Calibri"/>
          <w:iCs/>
          <w:noProof/>
          <w:sz w:val="22"/>
        </w:rPr>
        <w:t>Current opinion in anaesthesiology</w:t>
      </w:r>
      <w:r w:rsidRPr="00C169DB">
        <w:rPr>
          <w:rFonts w:ascii="TitilliumText25L" w:hAnsi="TitilliumText25L" w:cs="Calibri"/>
          <w:noProof/>
          <w:sz w:val="22"/>
        </w:rPr>
        <w:t xml:space="preserve"> </w:t>
      </w:r>
      <w:r w:rsidRPr="00C169DB">
        <w:rPr>
          <w:rFonts w:ascii="TitilliumText25L" w:hAnsi="TitilliumText25L" w:cs="Calibri"/>
          <w:bCs/>
          <w:noProof/>
          <w:sz w:val="22"/>
        </w:rPr>
        <w:t>25</w:t>
      </w:r>
      <w:r w:rsidRPr="00C169DB">
        <w:rPr>
          <w:rFonts w:ascii="TitilliumText25L" w:hAnsi="TitilliumText25L" w:cs="Calibri"/>
          <w:noProof/>
          <w:sz w:val="22"/>
        </w:rPr>
        <w:t>, 66–73 (2012).</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3.</w:t>
      </w:r>
      <w:r w:rsidRPr="00C169DB">
        <w:rPr>
          <w:rFonts w:ascii="TitilliumText25L" w:hAnsi="TitilliumText25L" w:cs="Calibri"/>
          <w:noProof/>
          <w:sz w:val="22"/>
        </w:rPr>
        <w:tab/>
        <w:t xml:space="preserve">Berger, M. D. </w:t>
      </w:r>
      <w:r w:rsidRPr="00C169DB">
        <w:rPr>
          <w:rFonts w:ascii="TitilliumText25L" w:hAnsi="TitilliumText25L" w:cs="Calibri"/>
          <w:iCs/>
          <w:noProof/>
          <w:sz w:val="22"/>
        </w:rPr>
        <w:t>et al.</w:t>
      </w:r>
      <w:r w:rsidRPr="00C169DB">
        <w:rPr>
          <w:rFonts w:ascii="TitilliumText25L" w:hAnsi="TitilliumText25L" w:cs="Calibri"/>
          <w:noProof/>
          <w:sz w:val="22"/>
        </w:rPr>
        <w:t xml:space="preserve"> Significant reduction of red blood cell transfusion requirements by changing from a double-unit to a single-unit transfusion policy in patients receiving intensive chemotherapy or stem cell transplantation. </w:t>
      </w:r>
      <w:r w:rsidRPr="00C169DB">
        <w:rPr>
          <w:rFonts w:ascii="TitilliumText25L" w:hAnsi="TitilliumText25L" w:cs="Calibri"/>
          <w:iCs/>
          <w:noProof/>
          <w:sz w:val="22"/>
        </w:rPr>
        <w:t>haematologica</w:t>
      </w:r>
      <w:r w:rsidRPr="00C169DB">
        <w:rPr>
          <w:rFonts w:ascii="TitilliumText25L" w:hAnsi="TitilliumText25L" w:cs="Calibri"/>
          <w:noProof/>
          <w:sz w:val="22"/>
        </w:rPr>
        <w:t xml:space="preserve"> </w:t>
      </w:r>
      <w:r w:rsidRPr="00C169DB">
        <w:rPr>
          <w:rFonts w:ascii="TitilliumText25L" w:hAnsi="TitilliumText25L" w:cs="Calibri"/>
          <w:bCs/>
          <w:noProof/>
          <w:sz w:val="22"/>
        </w:rPr>
        <w:t>97</w:t>
      </w:r>
      <w:r w:rsidRPr="00C169DB">
        <w:rPr>
          <w:rFonts w:ascii="TitilliumText25L" w:hAnsi="TitilliumText25L" w:cs="Calibri"/>
          <w:noProof/>
          <w:sz w:val="22"/>
        </w:rPr>
        <w:t>, 116–122 (2012).</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4.</w:t>
      </w:r>
      <w:r w:rsidRPr="00C169DB">
        <w:rPr>
          <w:rFonts w:ascii="TitilliumText25L" w:hAnsi="TitilliumText25L" w:cs="Calibri"/>
          <w:noProof/>
          <w:sz w:val="22"/>
        </w:rPr>
        <w:tab/>
        <w:t xml:space="preserve">Hébert, P. C. </w:t>
      </w:r>
      <w:r w:rsidRPr="00C169DB">
        <w:rPr>
          <w:rFonts w:ascii="TitilliumText25L" w:hAnsi="TitilliumText25L" w:cs="Calibri"/>
          <w:iCs/>
          <w:noProof/>
          <w:sz w:val="22"/>
        </w:rPr>
        <w:t>et al.</w:t>
      </w:r>
      <w:r w:rsidRPr="00C169DB">
        <w:rPr>
          <w:rFonts w:ascii="TitilliumText25L" w:hAnsi="TitilliumText25L" w:cs="Calibri"/>
          <w:noProof/>
          <w:sz w:val="22"/>
        </w:rPr>
        <w:t xml:space="preserve"> A multicenter , randomized, controlled clinical trial of transfusion requirements in critical care. </w:t>
      </w:r>
      <w:r w:rsidRPr="00C169DB">
        <w:rPr>
          <w:rFonts w:ascii="TitilliumText25L" w:hAnsi="TitilliumText25L" w:cs="Calibri"/>
          <w:iCs/>
          <w:noProof/>
          <w:sz w:val="22"/>
        </w:rPr>
        <w:t>N Engl J Med</w:t>
      </w:r>
      <w:r w:rsidRPr="00C169DB">
        <w:rPr>
          <w:rFonts w:ascii="TitilliumText25L" w:hAnsi="TitilliumText25L" w:cs="Calibri"/>
          <w:noProof/>
          <w:sz w:val="22"/>
        </w:rPr>
        <w:t xml:space="preserve"> </w:t>
      </w:r>
      <w:r w:rsidRPr="00C169DB">
        <w:rPr>
          <w:rFonts w:ascii="TitilliumText25L" w:hAnsi="TitilliumText25L" w:cs="Calibri"/>
          <w:bCs/>
          <w:noProof/>
          <w:sz w:val="22"/>
        </w:rPr>
        <w:t>340</w:t>
      </w:r>
      <w:r w:rsidRPr="00C169DB">
        <w:rPr>
          <w:rFonts w:ascii="TitilliumText25L" w:hAnsi="TitilliumText25L" w:cs="Calibri"/>
          <w:noProof/>
          <w:sz w:val="22"/>
        </w:rPr>
        <w:t>, 409–417 (1999).</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5.</w:t>
      </w:r>
      <w:r w:rsidRPr="00C169DB">
        <w:rPr>
          <w:rFonts w:ascii="TitilliumText25L" w:hAnsi="TitilliumText25L" w:cs="Calibri"/>
          <w:noProof/>
          <w:sz w:val="22"/>
        </w:rPr>
        <w:tab/>
        <w:t>Western Australia Government Single Unit Rule: A Quick Start Guide to Transfusion Reduction. (2012).at &lt;</w:t>
      </w:r>
      <w:hyperlink r:id="rId56" w:history="1">
        <w:r w:rsidRPr="00C169DB">
          <w:rPr>
            <w:rStyle w:val="Hyperlink"/>
            <w:rFonts w:ascii="TitilliumText25L" w:hAnsi="TitilliumText25L" w:cs="Calibri"/>
            <w:noProof/>
            <w:sz w:val="22"/>
          </w:rPr>
          <w:t>http://www.health.wa.gov.au/bloodmanagement/docs/Single Unit Rule.pdf</w:t>
        </w:r>
      </w:hyperlink>
      <w:r w:rsidRPr="00C169DB">
        <w:rPr>
          <w:rFonts w:ascii="TitilliumText25L" w:hAnsi="TitilliumText25L" w:cs="Calibri"/>
          <w:noProof/>
          <w:sz w:val="22"/>
        </w:rPr>
        <w:t>&gt;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6.</w:t>
      </w:r>
      <w:r w:rsidRPr="00C169DB">
        <w:rPr>
          <w:rFonts w:ascii="TitilliumText25L" w:hAnsi="TitilliumText25L" w:cs="Calibri"/>
          <w:noProof/>
          <w:sz w:val="22"/>
        </w:rPr>
        <w:tab/>
        <w:t xml:space="preserve">Webert, K. E. </w:t>
      </w:r>
      <w:r w:rsidRPr="00C169DB">
        <w:rPr>
          <w:rFonts w:ascii="TitilliumText25L" w:hAnsi="TitilliumText25L" w:cs="Calibri"/>
          <w:iCs/>
          <w:noProof/>
          <w:sz w:val="22"/>
        </w:rPr>
        <w:t>et al.</w:t>
      </w:r>
      <w:r w:rsidRPr="00C169DB">
        <w:rPr>
          <w:rFonts w:ascii="TitilliumText25L" w:hAnsi="TitilliumText25L" w:cs="Calibri"/>
          <w:noProof/>
          <w:sz w:val="22"/>
        </w:rPr>
        <w:t xml:space="preserve"> A new tool to assess bleeding severity in patients with chemotherapy-induced thrmbocytopaenia. </w:t>
      </w:r>
      <w:r w:rsidRPr="00C169DB">
        <w:rPr>
          <w:rFonts w:ascii="TitilliumText25L" w:hAnsi="TitilliumText25L" w:cs="Calibri"/>
          <w:iCs/>
          <w:noProof/>
          <w:sz w:val="22"/>
        </w:rPr>
        <w:t>Transfusion Practice</w:t>
      </w:r>
      <w:r w:rsidRPr="00C169DB">
        <w:rPr>
          <w:rFonts w:ascii="TitilliumText25L" w:hAnsi="TitilliumText25L" w:cs="Calibri"/>
          <w:noProof/>
          <w:sz w:val="22"/>
        </w:rPr>
        <w:t xml:space="preserve"> </w:t>
      </w:r>
      <w:r w:rsidRPr="00C169DB">
        <w:rPr>
          <w:rFonts w:ascii="TitilliumText25L" w:hAnsi="TitilliumText25L" w:cs="Calibri"/>
          <w:bCs/>
          <w:noProof/>
          <w:sz w:val="22"/>
        </w:rPr>
        <w:t>52</w:t>
      </w:r>
      <w:r w:rsidRPr="00C169DB">
        <w:rPr>
          <w:rFonts w:ascii="TitilliumText25L" w:hAnsi="TitilliumText25L" w:cs="Calibri"/>
          <w:noProof/>
          <w:sz w:val="22"/>
        </w:rPr>
        <w:t>, 2466–2474 (2012).</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7.</w:t>
      </w:r>
      <w:r w:rsidRPr="00C169DB">
        <w:rPr>
          <w:rFonts w:ascii="TitilliumText25L" w:hAnsi="TitilliumText25L" w:cs="Calibri"/>
          <w:noProof/>
          <w:sz w:val="22"/>
        </w:rPr>
        <w:tab/>
        <w:t xml:space="preserve">National Blood Authority </w:t>
      </w:r>
      <w:r w:rsidRPr="00C169DB">
        <w:rPr>
          <w:rFonts w:ascii="TitilliumText25L" w:hAnsi="TitilliumText25L" w:cs="Calibri"/>
          <w:iCs/>
          <w:noProof/>
          <w:sz w:val="22"/>
        </w:rPr>
        <w:t>Patient Blood Management Guidelines: Module 1 - Critical Bleeding / Massive Transfusion</w:t>
      </w:r>
      <w:r w:rsidRPr="00C169DB">
        <w:rPr>
          <w:rFonts w:ascii="TitilliumText25L" w:hAnsi="TitilliumText25L" w:cs="Calibri"/>
          <w:noProof/>
          <w:sz w:val="22"/>
        </w:rPr>
        <w:t>. (Canberra, Australia, 2011).at &lt;</w:t>
      </w:r>
      <w:hyperlink r:id="rId57" w:history="1">
        <w:r w:rsidRPr="00C169DB">
          <w:rPr>
            <w:rStyle w:val="Hyperlink"/>
            <w:rFonts w:ascii="TitilliumText25L" w:hAnsi="TitilliumText25L" w:cs="Calibri"/>
            <w:noProof/>
            <w:sz w:val="22"/>
          </w:rPr>
          <w:t>http://www.blood.gov.au/pbm-guidelines</w:t>
        </w:r>
      </w:hyperlink>
      <w:r w:rsidRPr="00C169DB">
        <w:rPr>
          <w:rFonts w:ascii="TitilliumText25L" w:hAnsi="TitilliumText25L" w:cs="Calibri"/>
          <w:noProof/>
          <w:sz w:val="22"/>
        </w:rPr>
        <w:t>&gt;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8.</w:t>
      </w:r>
      <w:r w:rsidRPr="00C169DB">
        <w:rPr>
          <w:rFonts w:ascii="TitilliumText25L" w:hAnsi="TitilliumText25L" w:cs="Calibri"/>
          <w:noProof/>
          <w:sz w:val="22"/>
        </w:rPr>
        <w:tab/>
        <w:t xml:space="preserve">Australian Commission on Safety and Quality in Healthcare </w:t>
      </w:r>
      <w:r w:rsidRPr="00C169DB">
        <w:rPr>
          <w:rFonts w:ascii="TitilliumText25L" w:hAnsi="TitilliumText25L" w:cs="Calibri"/>
          <w:iCs/>
          <w:noProof/>
          <w:sz w:val="22"/>
        </w:rPr>
        <w:t>Safety and Quality Improvement Guide Standard 7: Blood and Blood Products</w:t>
      </w:r>
      <w:r w:rsidRPr="00C169DB">
        <w:rPr>
          <w:rFonts w:ascii="TitilliumText25L" w:hAnsi="TitilliumText25L" w:cs="Calibri"/>
          <w:noProof/>
          <w:sz w:val="22"/>
        </w:rPr>
        <w:t xml:space="preserve">. </w:t>
      </w:r>
      <w:r w:rsidRPr="00C169DB">
        <w:rPr>
          <w:rFonts w:ascii="TitilliumText25L" w:hAnsi="TitilliumText25L" w:cs="Calibri"/>
          <w:iCs/>
          <w:noProof/>
          <w:sz w:val="22"/>
        </w:rPr>
        <w:t>ACSQHC</w:t>
      </w:r>
      <w:r w:rsidRPr="00C169DB">
        <w:rPr>
          <w:rFonts w:ascii="TitilliumText25L" w:hAnsi="TitilliumText25L" w:cs="Calibri"/>
          <w:noProof/>
          <w:sz w:val="22"/>
        </w:rPr>
        <w:t xml:space="preserve"> (2012).at &lt;</w:t>
      </w:r>
      <w:hyperlink r:id="rId58" w:history="1">
        <w:r w:rsidRPr="00C169DB">
          <w:rPr>
            <w:rStyle w:val="Hyperlink"/>
            <w:rFonts w:ascii="TitilliumText25L" w:hAnsi="TitilliumText25L" w:cs="Calibri"/>
            <w:noProof/>
            <w:sz w:val="22"/>
          </w:rPr>
          <w:t>http://www.safetyandquality.gov.au/wp-content/uploads/2012/10/Standard7_Oct_2012_WEB.pdf</w:t>
        </w:r>
      </w:hyperlink>
      <w:r w:rsidRPr="00C169DB">
        <w:rPr>
          <w:rFonts w:ascii="TitilliumText25L" w:hAnsi="TitilliumText25L" w:cs="Calibri"/>
          <w:noProof/>
          <w:sz w:val="22"/>
        </w:rPr>
        <w:t>&gt;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9.</w:t>
      </w:r>
      <w:r w:rsidRPr="00C169DB">
        <w:rPr>
          <w:rFonts w:ascii="TitilliumText25L" w:hAnsi="TitilliumText25L" w:cs="Calibri"/>
          <w:noProof/>
          <w:sz w:val="22"/>
        </w:rPr>
        <w:tab/>
        <w:t xml:space="preserve">Ombler, K. Blood is a Gift. Project of Auckland District Health Board Transfusion Committee. </w:t>
      </w:r>
      <w:r w:rsidRPr="00C169DB">
        <w:rPr>
          <w:rFonts w:ascii="TitilliumText25L" w:hAnsi="TitilliumText25L" w:cs="Calibri"/>
          <w:iCs/>
          <w:noProof/>
          <w:sz w:val="22"/>
        </w:rPr>
        <w:t>Public Sector</w:t>
      </w:r>
      <w:r w:rsidRPr="00C169DB">
        <w:rPr>
          <w:rFonts w:ascii="TitilliumText25L" w:hAnsi="TitilliumText25L" w:cs="Calibri"/>
          <w:noProof/>
          <w:sz w:val="22"/>
        </w:rPr>
        <w:t xml:space="preserve"> </w:t>
      </w:r>
      <w:r w:rsidRPr="00C169DB">
        <w:rPr>
          <w:rFonts w:ascii="TitilliumText25L" w:hAnsi="TitilliumText25L" w:cs="Calibri"/>
          <w:bCs/>
          <w:noProof/>
          <w:sz w:val="22"/>
        </w:rPr>
        <w:t>36:1</w:t>
      </w:r>
      <w:r w:rsidRPr="00C169DB">
        <w:rPr>
          <w:rFonts w:ascii="TitilliumText25L" w:hAnsi="TitilliumText25L" w:cs="Calibri"/>
          <w:noProof/>
          <w:sz w:val="22"/>
        </w:rPr>
        <w:t>, (2013).</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10.</w:t>
      </w:r>
      <w:r w:rsidRPr="00C169DB">
        <w:rPr>
          <w:rFonts w:ascii="TitilliumText25L" w:hAnsi="TitilliumText25L" w:cs="Calibri"/>
          <w:noProof/>
          <w:sz w:val="22"/>
        </w:rPr>
        <w:tab/>
        <w:t xml:space="preserve">Shepherd, L. St. Michael’s to create centre for patient blood management. </w:t>
      </w:r>
      <w:r w:rsidRPr="00C169DB">
        <w:rPr>
          <w:rFonts w:ascii="TitilliumText25L" w:hAnsi="TitilliumText25L" w:cs="Calibri"/>
          <w:iCs/>
          <w:noProof/>
          <w:sz w:val="22"/>
        </w:rPr>
        <w:t>St Michael’s Hospital, Toronto Canada</w:t>
      </w:r>
      <w:r w:rsidRPr="00C169DB">
        <w:rPr>
          <w:rFonts w:ascii="TitilliumText25L" w:hAnsi="TitilliumText25L" w:cs="Calibri"/>
          <w:noProof/>
          <w:sz w:val="22"/>
        </w:rPr>
        <w:t xml:space="preserve"> at &lt;</w:t>
      </w:r>
      <w:hyperlink r:id="rId59" w:history="1">
        <w:r w:rsidRPr="00C169DB">
          <w:rPr>
            <w:rStyle w:val="Hyperlink"/>
            <w:rFonts w:ascii="TitilliumText25L" w:hAnsi="TitilliumText25L" w:cs="Calibri"/>
            <w:noProof/>
            <w:sz w:val="22"/>
          </w:rPr>
          <w:t>http://www.stmichaelshospital.com/media/detail.php?source=hospital_news/2012/20120913a_hn</w:t>
        </w:r>
      </w:hyperlink>
      <w:r w:rsidRPr="00C169DB">
        <w:rPr>
          <w:rFonts w:ascii="TitilliumText25L" w:hAnsi="TitilliumText25L" w:cs="Calibri"/>
          <w:noProof/>
          <w:sz w:val="22"/>
        </w:rPr>
        <w:t>&gt;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11.</w:t>
      </w:r>
      <w:r w:rsidRPr="00C169DB">
        <w:rPr>
          <w:rFonts w:ascii="TitilliumText25L" w:hAnsi="TitilliumText25L" w:cs="Calibri"/>
          <w:noProof/>
          <w:sz w:val="22"/>
        </w:rPr>
        <w:tab/>
        <w:t>Eastern Maine Medical Center Patient Blood Management Program. (2007).at &lt;</w:t>
      </w:r>
      <w:hyperlink r:id="rId60" w:history="1">
        <w:r w:rsidRPr="00C169DB">
          <w:rPr>
            <w:rStyle w:val="Hyperlink"/>
            <w:rFonts w:ascii="TitilliumText25L" w:hAnsi="TitilliumText25L" w:cs="Calibri"/>
            <w:noProof/>
            <w:sz w:val="22"/>
          </w:rPr>
          <w:t>http://www.emmc.org/blood_management.aspx?id=36102</w:t>
        </w:r>
      </w:hyperlink>
      <w:r w:rsidRPr="00C169DB">
        <w:rPr>
          <w:rFonts w:ascii="TitilliumText25L" w:hAnsi="TitilliumText25L" w:cs="Calibri"/>
          <w:noProof/>
          <w:sz w:val="22"/>
        </w:rPr>
        <w:t>&gt;</w:t>
      </w:r>
    </w:p>
    <w:p w:rsidR="00D34CAB" w:rsidRPr="00C169DB" w:rsidRDefault="00D34CAB" w:rsidP="00CF6EDC">
      <w:pPr>
        <w:pStyle w:val="NormalWeb"/>
        <w:spacing w:before="0" w:beforeAutospacing="0" w:after="120" w:afterAutospacing="0"/>
        <w:ind w:left="641" w:hanging="641"/>
        <w:rPr>
          <w:rFonts w:ascii="TitilliumText25L" w:hAnsi="TitilliumText25L" w:cs="Calibri"/>
          <w:noProof/>
          <w:sz w:val="22"/>
        </w:rPr>
      </w:pPr>
      <w:r w:rsidRPr="00C169DB">
        <w:rPr>
          <w:rFonts w:ascii="TitilliumText25L" w:hAnsi="TitilliumText25L" w:cs="Calibri"/>
          <w:noProof/>
          <w:sz w:val="22"/>
        </w:rPr>
        <w:t>12.</w:t>
      </w:r>
      <w:r w:rsidRPr="00C169DB">
        <w:rPr>
          <w:rFonts w:ascii="TitilliumText25L" w:hAnsi="TitilliumText25L" w:cs="Calibri"/>
          <w:noProof/>
          <w:sz w:val="22"/>
        </w:rPr>
        <w:tab/>
        <w:t xml:space="preserve">Shander, A. </w:t>
      </w:r>
      <w:r w:rsidRPr="00C169DB">
        <w:rPr>
          <w:rFonts w:ascii="TitilliumText25L" w:hAnsi="TitilliumText25L" w:cs="Calibri"/>
          <w:iCs/>
          <w:noProof/>
          <w:sz w:val="22"/>
        </w:rPr>
        <w:t>et al.</w:t>
      </w:r>
      <w:r w:rsidRPr="00C169DB">
        <w:rPr>
          <w:rFonts w:ascii="TitilliumText25L" w:hAnsi="TitilliumText25L" w:cs="Calibri"/>
          <w:noProof/>
          <w:sz w:val="22"/>
        </w:rPr>
        <w:t xml:space="preserve"> Patient blood management in Europe. </w:t>
      </w:r>
      <w:r w:rsidRPr="00C169DB">
        <w:rPr>
          <w:rFonts w:ascii="TitilliumText25L" w:hAnsi="TitilliumText25L" w:cs="Calibri"/>
          <w:bCs/>
          <w:noProof/>
          <w:sz w:val="22"/>
        </w:rPr>
        <w:t>109</w:t>
      </w:r>
      <w:r w:rsidRPr="00C169DB">
        <w:rPr>
          <w:rFonts w:ascii="TitilliumText25L" w:hAnsi="TitilliumText25L" w:cs="Calibri"/>
          <w:noProof/>
          <w:sz w:val="22"/>
        </w:rPr>
        <w:t>, 55–68 (2012).</w:t>
      </w:r>
    </w:p>
    <w:p w:rsidR="00D34CAB" w:rsidRPr="00C169DB" w:rsidRDefault="00D34CAB" w:rsidP="00CF6EDC">
      <w:pPr>
        <w:pStyle w:val="NormalWeb"/>
        <w:spacing w:before="0" w:beforeAutospacing="0" w:after="120" w:afterAutospacing="0"/>
        <w:ind w:left="641" w:hanging="641"/>
        <w:rPr>
          <w:rFonts w:ascii="TitilliumText25L" w:hAnsi="TitilliumText25L"/>
          <w:lang w:val="en-GB"/>
        </w:rPr>
      </w:pPr>
      <w:r w:rsidRPr="00C169DB">
        <w:rPr>
          <w:rFonts w:ascii="TitilliumText25L" w:hAnsi="TitilliumText25L" w:cs="Calibri"/>
          <w:noProof/>
          <w:sz w:val="22"/>
        </w:rPr>
        <w:t>13.</w:t>
      </w:r>
      <w:r w:rsidRPr="00C169DB">
        <w:rPr>
          <w:rFonts w:ascii="TitilliumText25L" w:hAnsi="TitilliumText25L" w:cs="Calibri"/>
          <w:noProof/>
          <w:sz w:val="22"/>
        </w:rPr>
        <w:tab/>
        <w:t>UK Blood Transfusion Services &amp; Department of Health UK Better Blood Transfusion Toolkit. (2011).at &lt;</w:t>
      </w:r>
      <w:hyperlink r:id="rId61" w:history="1">
        <w:r w:rsidRPr="00C169DB">
          <w:rPr>
            <w:rStyle w:val="Hyperlink"/>
            <w:rFonts w:ascii="TitilliumText25L" w:hAnsi="TitilliumText25L" w:cs="Calibri"/>
            <w:noProof/>
            <w:sz w:val="22"/>
          </w:rPr>
          <w:t>http://www.transfusionguidelines.org.uk/index.aspx?Publication=BBT&amp;Section=22</w:t>
        </w:r>
      </w:hyperlink>
      <w:r w:rsidRPr="00C169DB">
        <w:rPr>
          <w:rFonts w:ascii="TitilliumText25L" w:hAnsi="TitilliumText25L" w:cs="Calibri"/>
          <w:noProof/>
          <w:sz w:val="22"/>
        </w:rPr>
        <w:t xml:space="preserve">&gt; </w:t>
      </w:r>
      <w:r w:rsidRPr="00C169DB">
        <w:rPr>
          <w:rFonts w:ascii="TitilliumText25L" w:eastAsiaTheme="minorHAnsi" w:hAnsi="TitilliumText25L" w:cstheme="minorHAnsi"/>
        </w:rPr>
        <w:fldChar w:fldCharType="end"/>
      </w:r>
    </w:p>
    <w:p w:rsidR="008324D5" w:rsidRPr="00C169DB" w:rsidRDefault="008324D5">
      <w:pPr>
        <w:rPr>
          <w:rFonts w:ascii="TitilliumText25L" w:hAnsi="TitilliumText25L"/>
          <w:lang w:val="en-GB"/>
        </w:rPr>
        <w:sectPr w:rsidR="008324D5" w:rsidRPr="00C169DB" w:rsidSect="00CF6EDC">
          <w:footnotePr>
            <w:numFmt w:val="lowerLetter"/>
          </w:footnotePr>
          <w:pgSz w:w="11906" w:h="16838"/>
          <w:pgMar w:top="1560" w:right="1133" w:bottom="993" w:left="1440" w:header="708" w:footer="833" w:gutter="0"/>
          <w:cols w:space="708"/>
          <w:titlePg/>
          <w:docGrid w:linePitch="360"/>
        </w:sectPr>
      </w:pPr>
    </w:p>
    <w:p w:rsidR="008324D5" w:rsidRPr="00C169DB" w:rsidRDefault="0084269D" w:rsidP="0084269D">
      <w:pPr>
        <w:pStyle w:val="Heading1"/>
        <w:ind w:left="2835" w:hanging="2835"/>
        <w:rPr>
          <w:rFonts w:ascii="TitilliumText25L" w:hAnsi="TitilliumText25L"/>
          <w:lang w:val="en-GB"/>
        </w:rPr>
      </w:pPr>
      <w:bookmarkStart w:id="16" w:name="_Toc390423664"/>
      <w:r w:rsidRPr="00C169DB">
        <w:rPr>
          <w:rFonts w:ascii="TitilliumText25L" w:hAnsi="TitilliumText25L"/>
          <w:lang w:val="en-GB"/>
        </w:rPr>
        <w:t>Appendix 3:</w:t>
      </w:r>
      <w:r w:rsidRPr="00C169DB">
        <w:rPr>
          <w:rFonts w:ascii="TitilliumText25L" w:hAnsi="TitilliumText25L"/>
          <w:lang w:val="en-GB"/>
        </w:rPr>
        <w:tab/>
      </w:r>
      <w:r w:rsidR="008324D5" w:rsidRPr="00C169DB">
        <w:rPr>
          <w:rFonts w:ascii="TitilliumText25L" w:hAnsi="TitilliumText25L"/>
          <w:lang w:val="en-GB"/>
        </w:rPr>
        <w:t>Example Handout Summary for a Single Unit Policy</w:t>
      </w:r>
      <w:bookmarkEnd w:id="16"/>
    </w:p>
    <w:p w:rsidR="009A6D55" w:rsidRPr="00C169DB" w:rsidRDefault="009A6D55" w:rsidP="00D35287">
      <w:pPr>
        <w:rPr>
          <w:rFonts w:ascii="TitilliumText25L" w:hAnsi="TitilliumText25L" w:cs="Arial"/>
          <w:sz w:val="36"/>
          <w:szCs w:val="36"/>
        </w:rPr>
      </w:pPr>
    </w:p>
    <w:p w:rsidR="009A6D55" w:rsidRPr="00C169DB" w:rsidRDefault="009A6D55" w:rsidP="00D35287">
      <w:pPr>
        <w:rPr>
          <w:rFonts w:ascii="TitilliumText25L" w:hAnsi="TitilliumText25L" w:cs="Arial"/>
          <w:sz w:val="36"/>
          <w:szCs w:val="36"/>
        </w:rPr>
      </w:pPr>
    </w:p>
    <w:p w:rsidR="00D34CAB" w:rsidRPr="00C169DB" w:rsidRDefault="00D34CAB" w:rsidP="00D35287">
      <w:pPr>
        <w:rPr>
          <w:rFonts w:ascii="TitilliumText25L" w:hAnsi="TitilliumText25L" w:cs="Arial"/>
          <w:sz w:val="36"/>
          <w:szCs w:val="36"/>
        </w:rPr>
      </w:pPr>
      <w:r w:rsidRPr="00C169DB">
        <w:rPr>
          <w:rFonts w:ascii="TitilliumText25L" w:hAnsi="TitilliumText25L" w:cs="Arial"/>
          <w:sz w:val="36"/>
          <w:szCs w:val="36"/>
        </w:rPr>
        <w:t xml:space="preserve">Single Unit Transfusion Guide – handout of information </w:t>
      </w:r>
    </w:p>
    <w:p w:rsidR="00BC0A0B" w:rsidRPr="00C169DB" w:rsidRDefault="00D34CAB" w:rsidP="0084269D">
      <w:pPr>
        <w:rPr>
          <w:rFonts w:ascii="TitilliumText25L" w:hAnsi="TitilliumText25L" w:cs="Arial"/>
          <w:sz w:val="36"/>
          <w:szCs w:val="36"/>
        </w:rPr>
      </w:pPr>
      <w:r w:rsidRPr="00C169DB">
        <w:rPr>
          <w:rFonts w:ascii="TitilliumText25L" w:hAnsi="TitilliumText25L" w:cs="Arial"/>
          <w:sz w:val="36"/>
          <w:szCs w:val="36"/>
        </w:rPr>
        <w:t xml:space="preserve">“Every </w:t>
      </w:r>
      <w:r w:rsidRPr="00C169DB">
        <w:rPr>
          <w:rFonts w:ascii="TitilliumText25L" w:hAnsi="TitilliumText25L" w:cs="Arial"/>
          <w:color w:val="C60C30"/>
          <w:sz w:val="36"/>
          <w:szCs w:val="36"/>
        </w:rPr>
        <w:t>ONE</w:t>
      </w:r>
      <w:r w:rsidRPr="00C169DB">
        <w:rPr>
          <w:rFonts w:ascii="TitilliumText25L" w:hAnsi="TitilliumText25L" w:cs="Arial"/>
          <w:color w:val="FF0000"/>
          <w:sz w:val="36"/>
          <w:szCs w:val="36"/>
        </w:rPr>
        <w:t xml:space="preserve"> </w:t>
      </w:r>
      <w:r w:rsidRPr="00C169DB">
        <w:rPr>
          <w:rFonts w:ascii="TitilliumText25L" w:hAnsi="TitilliumText25L" w:cs="Arial"/>
          <w:sz w:val="36"/>
          <w:szCs w:val="36"/>
        </w:rPr>
        <w:t>matters”</w:t>
      </w:r>
    </w:p>
    <w:p w:rsidR="00BC0A0B" w:rsidRPr="00C169DB" w:rsidRDefault="00BC0A0B">
      <w:pPr>
        <w:rPr>
          <w:rFonts w:ascii="TitilliumText25L" w:hAnsi="TitilliumText25L" w:cs="Arial"/>
          <w:sz w:val="36"/>
          <w:szCs w:val="36"/>
        </w:rPr>
      </w:pPr>
      <w:r w:rsidRPr="00C169DB">
        <w:rPr>
          <w:rFonts w:ascii="TitilliumText25L" w:hAnsi="TitilliumText25L" w:cs="Arial"/>
          <w:sz w:val="36"/>
          <w:szCs w:val="36"/>
        </w:rPr>
        <w:br w:type="page"/>
      </w:r>
    </w:p>
    <w:p w:rsidR="00D34CAB" w:rsidRPr="00C169DB" w:rsidRDefault="00D34CAB" w:rsidP="00CF6EDC">
      <w:pPr>
        <w:pStyle w:val="Heading4"/>
        <w:spacing w:after="80"/>
        <w:ind w:left="-284"/>
        <w:rPr>
          <w:rFonts w:ascii="TitilliumText25L" w:hAnsi="TitilliumText25L"/>
          <w:color w:val="C60C30"/>
          <w:sz w:val="32"/>
          <w:szCs w:val="32"/>
        </w:rPr>
      </w:pPr>
      <w:r w:rsidRPr="00C169DB">
        <w:rPr>
          <w:rFonts w:ascii="TitilliumText25L" w:hAnsi="TitilliumText25L"/>
          <w:color w:val="C60C30"/>
          <w:sz w:val="32"/>
          <w:szCs w:val="32"/>
        </w:rPr>
        <w:t>INTRODUCTION:</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Single unit transfusion is part of Patient Blood Management (PBM); an evidence based patient centred strategy to improve patient outcomes by minimising red blood cell transfusions.</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In line with the national Patient Blood Management Guidelines: “Where indicated, transfusion of a single unit of RBC, followed by clinical reassessment to determine the need for further transfusion, is appropriate.”</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"&lt;sup&gt;1,2&lt;/sup&gt;"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1,2</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b/>
        </w:rPr>
        <w:t>If one unit of blood adequately improved the symptoms, then no further transfusion should occur.</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Single unit transfusion applies to stable, normovolaemic adult patients, in an inpatient setting, who do not have clinically significant bleeding.</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"ITEM-1",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"&lt;sup&gt;3&lt;/sup&gt;"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3</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w:t>
      </w:r>
      <w:r w:rsidRPr="00C169DB">
        <w:rPr>
          <w:rFonts w:ascii="TitilliumText25L" w:eastAsiaTheme="minorHAnsi" w:hAnsi="TitilliumText25L" w:cstheme="minorHAnsi"/>
          <w:lang w:val="en-GB"/>
        </w:rPr>
        <w:t>Transfuse one unit at a time and only when clinically indicated, based on the need to relieve clinical signs and symptoms of anaemia.</w:t>
      </w:r>
      <w:r w:rsidRPr="00C169DB">
        <w:rPr>
          <w:rFonts w:ascii="TitilliumText25L" w:eastAsiaTheme="minorHAnsi" w:hAnsi="TitilliumText25L" w:cstheme="minorHAnsi"/>
          <w:lang w:val="en-GB"/>
        </w:rPr>
        <w:fldChar w:fldCharType="begin" w:fldLock="1"/>
      </w:r>
      <w:r w:rsidRPr="00C169DB">
        <w:rPr>
          <w:rFonts w:ascii="TitilliumText25L" w:eastAsiaTheme="minorHAnsi" w:hAnsi="TitilliumText25L" w:cstheme="minorHAnsi"/>
          <w:lang w:val="en-G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"&lt;sup&gt;1,2&lt;/sup&gt;" }, "properties" : { "noteIndex" : 0 }, "schema" : "https://github.com/citation-style-language/schema/raw/master/csl-citation.json" }</w:instrText>
      </w:r>
      <w:r w:rsidRPr="00C169DB">
        <w:rPr>
          <w:rFonts w:ascii="TitilliumText25L" w:eastAsiaTheme="minorHAnsi" w:hAnsi="TitilliumText25L" w:cstheme="minorHAnsi"/>
          <w:lang w:val="en-GB"/>
        </w:rPr>
        <w:fldChar w:fldCharType="separate"/>
      </w:r>
      <w:r w:rsidRPr="00C169DB">
        <w:rPr>
          <w:rFonts w:ascii="TitilliumText25L" w:eastAsiaTheme="minorHAnsi" w:hAnsi="TitilliumText25L" w:cstheme="minorHAnsi"/>
          <w:noProof/>
          <w:vertAlign w:val="superscript"/>
          <w:lang w:val="en-GB"/>
        </w:rPr>
        <w:t>1,2</w:t>
      </w:r>
      <w:r w:rsidRPr="00C169DB">
        <w:rPr>
          <w:rFonts w:ascii="TitilliumText25L" w:eastAsiaTheme="minorHAnsi" w:hAnsi="TitilliumText25L" w:cstheme="minorHAnsi"/>
          <w:lang w:val="en-GB"/>
        </w:rPr>
        <w:fldChar w:fldCharType="end"/>
      </w:r>
      <w:r w:rsidRPr="00C169DB">
        <w:rPr>
          <w:rFonts w:ascii="TitilliumText25L" w:eastAsiaTheme="minorHAnsi" w:hAnsi="TitilliumText25L" w:cstheme="minorHAnsi"/>
          <w:lang w:val="en-GB"/>
        </w:rPr>
        <w:t xml:space="preserve"> Symptoms may include dyspnoea, tachycardia, chest pain, hypotension, increased heart rate and decreased oxygen saturation.</w:t>
      </w:r>
      <w:r w:rsidRPr="00C169DB">
        <w:rPr>
          <w:rFonts w:ascii="TitilliumText25L" w:eastAsiaTheme="minorHAnsi" w:hAnsi="TitilliumText25L" w:cstheme="minorHAnsi"/>
          <w:lang w:val="en-GB"/>
        </w:rPr>
        <w:fldChar w:fldCharType="begin" w:fldLock="1"/>
      </w:r>
      <w:r w:rsidRPr="00C169DB">
        <w:rPr>
          <w:rFonts w:ascii="TitilliumText25L" w:eastAsiaTheme="minorHAnsi" w:hAnsi="TitilliumText25L" w:cstheme="minorHAnsi"/>
          <w:lang w:val="en-GB"/>
        </w:rPr>
        <w:instrText>ADDIN CSL_CITATION { "citationItems" : [ { "id" : "ITEM-1", "itemData" : { "abstract" : "Although approximately 85 million units of red blood cells (RBCs) are transfused annually worldwide, transfusion practices vary widely. The AABB (formerly, the American Association of Blood Banks) developed this guideline to provide clinical recommendations about hemoglobin concentration thresholds and other clinical variables that trigger RBC transfusions in hemodynamically stable adults and children.", "author" : [ { "dropping-particle" : "", "family" : "Carson", "given" : "Jeffrey L", "non-dropping-particle" : "", "parse-names" : false, "suffix" : "" } ], "container-title" : "Annals of Internal Medicine", "id" : "ITEM-1", "issue" : "1", "issued" : { "date-parts" : [ [ "2012" ] ] }, "page" : "49-58", "title" : "Red blood cell transfusion: a clinical practice guideline from the AABB", "type" : "article-journal", "volume" : "157" }, "uris" : [ "http://www.mendeley.com/documents/?uuid=1f2a47bc-9d7f-4b77-bdbd-6028e884fabb" ] }, { "id" : "ITEM-2", "itemData" : { "author" : [ { "dropping-particle" : "", "family" : "Rossi", "given" : "E C", "non-dropping-particle" : "", "parse-names" : false, "suffix" : "" } ], "container-title" : "Principles of Transfusion Medicine, Second edition", "id" : "ITEM-2", "issued" : { "date-parts" : [ [ "1996" ] ] }, "title" : "Anaemia and Red cell Transfusion", "type" : "article-journal", "volume" : "1" }, "uris" : [ "http://www.mendeley.com/documents/?uuid=2e29d606-dc65-44eb-b3ba-44a2477d82c7" ] }, { "id" : "ITEM-3", "itemData" : { "author" : [ { "dropping-particle" : "", "family" : "Shander", "given" : "A", "non-dropping-particle" : "", "parse-names" : false, "suffix" : "" } ], "container-title" : "Review Blood Transfus", "id" : "ITEM-3", "issued" : { "date-parts" : [ [ "2012" ] ] }, "title" : "A new perspective on best transfusion practices", "type" : "article-journal", "volume" : "1" }, "uris" : [ "http://www.mendeley.com/documents/?uuid=6c8b828f-556c-41d9-b293-6f1ed9a0ad28" ] } ], "mendeley" : { "previouslyFormattedCitation" : "&lt;sup&gt;4\u20136&lt;/sup&gt;" }, "properties" : { "noteIndex" : 0 }, "schema" : "https://github.com/citation-style-language/schema/raw/master/csl-citation.json" }</w:instrText>
      </w:r>
      <w:r w:rsidRPr="00C169DB">
        <w:rPr>
          <w:rFonts w:ascii="TitilliumText25L" w:eastAsiaTheme="minorHAnsi" w:hAnsi="TitilliumText25L" w:cstheme="minorHAnsi"/>
          <w:lang w:val="en-GB"/>
        </w:rPr>
        <w:fldChar w:fldCharType="separate"/>
      </w:r>
      <w:r w:rsidRPr="00C169DB">
        <w:rPr>
          <w:rFonts w:ascii="TitilliumText25L" w:eastAsiaTheme="minorHAnsi" w:hAnsi="TitilliumText25L" w:cstheme="minorHAnsi"/>
          <w:noProof/>
          <w:vertAlign w:val="superscript"/>
          <w:lang w:val="en-GB"/>
        </w:rPr>
        <w:t>4–6</w:t>
      </w:r>
      <w:r w:rsidRPr="00C169DB">
        <w:rPr>
          <w:rFonts w:ascii="TitilliumText25L" w:eastAsiaTheme="minorHAnsi" w:hAnsi="TitilliumText25L" w:cstheme="minorHAnsi"/>
          <w:lang w:val="en-GB"/>
        </w:rPr>
        <w:fldChar w:fldCharType="end"/>
      </w:r>
      <w:r w:rsidRPr="00C169DB" w:rsidDel="004E59C2">
        <w:rPr>
          <w:rFonts w:ascii="TitilliumText25L" w:eastAsiaTheme="minorHAnsi" w:hAnsi="TitilliumText25L" w:cstheme="minorHAnsi"/>
        </w:rPr>
        <w:t xml:space="preserve"> </w:t>
      </w:r>
    </w:p>
    <w:p w:rsidR="00D34CAB" w:rsidRPr="00C169DB" w:rsidRDefault="00D34CAB" w:rsidP="00CF6EDC">
      <w:pPr>
        <w:pStyle w:val="Heading4"/>
        <w:spacing w:after="80"/>
        <w:ind w:left="-284"/>
        <w:rPr>
          <w:rFonts w:ascii="TitilliumText25L" w:hAnsi="TitilliumText25L"/>
          <w:color w:val="C60C30"/>
          <w:sz w:val="32"/>
          <w:szCs w:val="32"/>
        </w:rPr>
      </w:pPr>
      <w:r w:rsidRPr="00C169DB">
        <w:rPr>
          <w:rFonts w:ascii="TitilliumText25L" w:hAnsi="TitilliumText25L"/>
          <w:color w:val="C60C30"/>
          <w:sz w:val="32"/>
          <w:szCs w:val="32"/>
        </w:rPr>
        <w:t>SITUATION:</w:t>
      </w:r>
    </w:p>
    <w:p w:rsidR="00D34CAB" w:rsidRPr="00C169DB" w:rsidRDefault="00D34CAB" w:rsidP="00CF6EDC">
      <w:pPr>
        <w:spacing w:after="80"/>
        <w:ind w:left="-284"/>
        <w:rPr>
          <w:rFonts w:ascii="TitilliumText25L" w:eastAsiaTheme="minorHAnsi" w:hAnsi="TitilliumText25L" w:cstheme="minorHAnsi"/>
          <w:vertAlign w:val="superscript"/>
        </w:rPr>
      </w:pPr>
      <w:r w:rsidRPr="00C169DB">
        <w:rPr>
          <w:rFonts w:ascii="TitilliumText25L" w:eastAsiaTheme="minorHAnsi" w:hAnsi="TitilliumText25L" w:cstheme="minorHAnsi"/>
        </w:rPr>
        <w:t>It is important to ensure that practice aligns with the national Patient Blood Management Guidelines (Module 2 – Perioperative, Module 3 - Medical and Module 4 - Critical Care) which support single unit transfusion.</w:t>
      </w:r>
      <w:r w:rsidRPr="00C169DB">
        <w:rPr>
          <w:rFonts w:ascii="TitilliumText25L" w:eastAsiaTheme="minorHAnsi" w:hAnsi="TitilliumText25L" w:cstheme="minorHAnsi"/>
          <w:b/>
        </w:rPr>
        <w:fldChar w:fldCharType="begin" w:fldLock="1"/>
      </w:r>
      <w:r w:rsidRPr="00C169DB">
        <w:rPr>
          <w:rFonts w:ascii="TitilliumText25L" w:eastAsiaTheme="minorHAnsi" w:hAnsi="TitilliumText25L" w:cstheme="minorHAnsi"/>
          <w:b/>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"id" : "ITEM-3", "itemData" : { "author" : [ { "dropping-particle" : "", "family" : "National Blood Authority", "given" : "", "non-dropping-particle" : "", "parse-names" : false, "suffix" : "" } ], "id" : "ITEM-3", "issued" : { "date-parts" : [ [ "2012" ] ] }, "publisher-place" : "Canberra, Australia", "title" : "Patient blood management guidelines: Module 2 \u2013 Perioperative.", "type" : "book" }, "uris" : [ "http://www.mendeley.com/documents/?uuid=956cf09d-f9be-4289-a9d0-a6445424b170" ] } ], "mendeley" : { "previouslyFormattedCitation" : "&lt;sup&gt;1,2,7&lt;/sup&gt;" }, "properties" : { "noteIndex" : 0 }, "schema" : "https://github.com/citation-style-language/schema/raw/master/csl-citation.json" }</w:instrText>
      </w:r>
      <w:r w:rsidRPr="00C169DB">
        <w:rPr>
          <w:rFonts w:ascii="TitilliumText25L" w:eastAsiaTheme="minorHAnsi" w:hAnsi="TitilliumText25L" w:cstheme="minorHAnsi"/>
          <w:b/>
        </w:rPr>
        <w:fldChar w:fldCharType="separate"/>
      </w:r>
      <w:r w:rsidRPr="00C169DB">
        <w:rPr>
          <w:rFonts w:ascii="TitilliumText25L" w:eastAsiaTheme="minorHAnsi" w:hAnsi="TitilliumText25L" w:cstheme="minorHAnsi"/>
          <w:noProof/>
          <w:vertAlign w:val="superscript"/>
        </w:rPr>
        <w:t>1,2,7</w:t>
      </w:r>
      <w:r w:rsidRPr="00C169DB">
        <w:rPr>
          <w:rFonts w:ascii="TitilliumText25L" w:eastAsiaTheme="minorHAnsi" w:hAnsi="TitilliumText25L" w:cstheme="minorHAnsi"/>
          <w:b/>
        </w:rPr>
        <w:fldChar w:fldCharType="end"/>
      </w:r>
      <w:r w:rsidRPr="00C169DB">
        <w:rPr>
          <w:rFonts w:ascii="TitilliumText25L" w:eastAsiaTheme="minorHAnsi" w:hAnsi="TitilliumText25L" w:cstheme="minorHAnsi"/>
          <w:vertAlign w:val="superscript"/>
        </w:rPr>
        <w:t xml:space="preserve"> </w:t>
      </w:r>
      <w:r w:rsidRPr="00C169DB">
        <w:rPr>
          <w:rFonts w:ascii="TitilliumText25L" w:eastAsiaTheme="minorHAnsi" w:hAnsi="TitilliumText25L" w:cstheme="minorHAnsi"/>
        </w:rPr>
        <w:t>The National Blood Authority has produced a single unit transfusion guide and supporting resources to assist meeting the Patient Blood Management Guidelines and compliance with the National Safety and Quality in Health Care (NSQHS), Standard 7: Blood and Blood Products.</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"Australian Commission on Safety and Quality in Healthcare", "given" : "", "non-dropping-particle" : "", "parse-names" : false, "suffix" : "" } ], "container-title" : "ACSQHC", "id" : "ITEM-1", "issued" : { "date-parts" : [ [ "2012" ] ] }, "title" : "Safety and Quality Improvement Guide Standard 7: Blood and Blood Products", "type" : "book" }, "uris" : [ "http://www.mendeley.com/documents/?uuid=bc00cee3-5cc2-41e6-8c61-bd93566fb71a" ] } ], "mendeley" : { "previouslyFormattedCitation" : "&lt;sup&gt;8&lt;/sup&gt;"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8</w:t>
      </w:r>
      <w:r w:rsidRPr="00C169DB">
        <w:rPr>
          <w:rFonts w:ascii="TitilliumText25L" w:eastAsiaTheme="minorHAnsi" w:hAnsi="TitilliumText25L" w:cstheme="minorHAnsi"/>
        </w:rPr>
        <w:fldChar w:fldCharType="end"/>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Morbidity from transfusion has been shown to be dose dependent.</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"Koch CG  Duncan AI et al", "given" : "Li L", "non-dropping-particle" : "", "parse-names" : false, "suffix" : "" } ], "container-title" : "Crit Care Med 2006", "id" : "ITEM-1", "issue" : "34", "issued" : { "date-parts" : [ [ "2006" ] ] }, "page" : "1608-1616", "title" : "Morbidity and mortality risk associated with red blood cell and blood-component transfusion in isolated coronary artery bypass grafting.", "type" : "article-journal", "volume" : "34" }, "uris" : [ "http://www.mendeley.com/documents/?uuid=92a943f7-35b9-4e46-948d-e1033d47cc97" ] }, { "id" : "ITEM-2", "itemData" : { "author" : [ { "dropping-particle" : "", "family" : "Hajjar LA Vincent JL et al.", "given" : "", "non-dropping-particle" : "", "parse-names" : false, "suffix" : "" } ], "container-title" : "JAMA - Journal of the American Medical Association", "id" : "ITEM-2", "issue" : "304", "issued" : { "date-parts" : [ [ "0" ] ] }, "page" : "304:1559-1567", "title" : "Transfusion requirements after cardiac surgery: the TRACS randomised controlled trial.", "type" : "article-journal", "volume" : "304" }, "uris" : [ "http://www.mendeley.com/documents/?uuid=f204d20a-6164-4ae2-8c61-0482cc10f507" ] } ], "mendeley" : { "previouslyFormattedCitation" : "&lt;sup&gt;9,10&lt;/sup&gt;"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9,10</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Two units are commonly prescribed when one unit may have met the clinical expectation and outcome of the transfusion. Each additional transfusion exposes patients to increased risk of an adverse event</w:t>
      </w:r>
      <w:r w:rsidRPr="00C169DB">
        <w:rPr>
          <w:rFonts w:ascii="TitilliumText25L" w:eastAsiaTheme="minorHAnsi" w:hAnsi="TitilliumText25L" w:cstheme="minorHAnsi"/>
          <w:b/>
        </w:rPr>
        <w:t>.</w:t>
      </w:r>
      <w:r w:rsidRPr="00C169DB">
        <w:rPr>
          <w:rFonts w:ascii="TitilliumText25L" w:eastAsiaTheme="minorHAnsi" w:hAnsi="TitilliumText25L" w:cstheme="minorHAnsi"/>
          <w:b/>
        </w:rPr>
        <w:fldChar w:fldCharType="begin" w:fldLock="1"/>
      </w:r>
      <w:r w:rsidRPr="00C169DB">
        <w:rPr>
          <w:rFonts w:ascii="TitilliumText25L" w:eastAsiaTheme="minorHAnsi" w:hAnsi="TitilliumText25L" w:cstheme="minorHAnsi"/>
          <w:b/>
        </w:rPr>
        <w:instrText>ADDIN CSL_CITATION { "citationItems" : [ { "id" : "ITEM-1", "itemData" : { "DOI" : "10.1634/theoncologist.2011-S3-3", "abstract" : "The objective of this paper is to introduce clinicians and health care professionals to the concept of patient blood management (PBM) and to explain the difference between PBM and the concept of \"appropriate use\" of blood products. The five reasons why modern health systems need to shift from product-focused transfusion practice to PBM are also presented. These are: the aging population with a leveraged demand for blood products opposed to a shrinking donor base; the growing awareness that transfusion is a complex service involving many different cost centers within a hospital and representing a multiple of the blood product cost; the continuous effort to protect blood pools from known, new, or re-emerging pathogens while facing uncertainty over their potentially long silent carrier states; the emerging evidence that transfusion is an independent risk factor for adverse outcomes; and finally, a lack of evidence for benefit of transfusion for the vast majority of recipients.", "author" : [ { "dropping-particle" : "", "family" : "Hofmann", "given" : "Axel", "non-dropping-particle" : "", "parse-names" : false, "suffix" : "" }, { "dropping-particle" : "", "family" : "Farmer", "given" : "Shannon", "non-dropping-particle" : "", "parse-names" : false, "suffix" : "" }, { "dropping-particle" : "", "family" : "Shander", "given" : "Aryeh", "non-dropping-particle" : "", "parse-names" : false, "suffix" : "" } ], "container-title" : "The oncologist", "id" : "ITEM-1", "issued" : { "date-parts" : [ [ "2011" ] ] }, "page" : "3-11", "title" : "Five drivers shifting the paradigm from product-focused transfusion practice to patient blood management.", "type" : "article-journal", "volume" : "16 Suppl 3" }, "uris" : [ "http://www.mendeley.com/documents/?uuid=3a94e34c-9f7b-496c-af50-99a9cf529f48" ] }, { "id" : "ITEM-2", "itemData" : { "DOI" : "10.1097/ACO.0b013e32834eb726", "abstract" : "PURPOSE OF REVIEW: Evidence-based patient blood management (PBM) is aimed at achieving better patient outcomes by relying on a patient's own blood rather than on donor blood. This review covers the rationale behind PBM, the treatment modalities involved and the drivers to adopt PBM as a new standard of care. RECENT FINDINGS: Transfusion rates vary significantly between comparable countries; they also vary between centers for matched patients in standardized elective surgical interventions. Preoperative anemia, perioperative blood loss and liberal transfusion triggers are the main predictors for transfusion and pose risks to the patient. PBM is mitigating these risks by optimizing the patient's native red cell mass, minimizing blood loss, optimizing the physiological reserve of anemia and preempting transfusions. A growing number of studies show that transfusion is associated in a dose-dependent relationship with increased morbidity, mortality and hospital length of stay. Evidence suggests that this relationship is not merely associative but causal. Furthermore, the over-ageing population of the developed world leads to a growing gap between supply and demand of blood, the safety of donor blood remains unpredictable and the cost of transfusion is much higher than previously estimated. SUMMARY: High transfusion variability, adverse transfusion outcomes, limited evidence for the benefit of transfusion particularly in elective patients and high cost of transfusion are challenging the traditional transfusion paradigm. National and state-wide initiatives are underway in Australia to broadly implement PBM and PBM programs as a new and cost-effective standard of care in the public health system.", "author" : [ { "dropping-particle" : "", "family" : "Hofmann", "given" : "Axel", "non-dropping-particle" : "", "parse-names" : false, "suffix" : "" }, { "dropping-particle" : "", "family" : "Farmer", "given" : "Shannon", "non-dropping-particle" : "", "parse-names" : false, "suffix" : "" }, { "dropping-particle" : "", "family" : "Towler", "given" : "Simon C", "non-dropping-particle" : "", "parse-names" : false, "suffix" : "" } ], "container-title" : "Current opinion in anaesthesiology", "id" : "ITEM-2", "issue" : "1", "issued" : { "date-parts" : [ [ "2012" ] ] }, "page" : "66-73", "title" : "Strategies to preempt and reduce the use of blood products: an Australian perspective.", "type" : "article-journal", "volume" : "25" }, "uris" : [ "http://www.mendeley.com/documents/?uuid=bd9ad883-c5dd-465f-bd70-928259714a47" ] } ], "mendeley" : { "previouslyFormattedCitation" : "&lt;sup&gt;11,12&lt;/sup&gt;" }, "properties" : { "noteIndex" : 0 }, "schema" : "https://github.com/citation-style-language/schema/raw/master/csl-citation.json" }</w:instrText>
      </w:r>
      <w:r w:rsidRPr="00C169DB">
        <w:rPr>
          <w:rFonts w:ascii="TitilliumText25L" w:eastAsiaTheme="minorHAnsi" w:hAnsi="TitilliumText25L" w:cstheme="minorHAnsi"/>
          <w:b/>
        </w:rPr>
        <w:fldChar w:fldCharType="separate"/>
      </w:r>
      <w:r w:rsidRPr="00C169DB">
        <w:rPr>
          <w:rFonts w:ascii="TitilliumText25L" w:eastAsiaTheme="minorHAnsi" w:hAnsi="TitilliumText25L" w:cstheme="minorHAnsi"/>
          <w:noProof/>
          <w:vertAlign w:val="superscript"/>
        </w:rPr>
        <w:t>11,12</w:t>
      </w:r>
      <w:r w:rsidRPr="00C169DB">
        <w:rPr>
          <w:rFonts w:ascii="TitilliumText25L" w:eastAsiaTheme="minorHAnsi" w:hAnsi="TitilliumText25L" w:cstheme="minorHAnsi"/>
          <w:b/>
        </w:rPr>
        <w:fldChar w:fldCharType="end"/>
      </w:r>
    </w:p>
    <w:p w:rsidR="00D34CAB" w:rsidRPr="00C169DB" w:rsidRDefault="00D34CAB" w:rsidP="00CF6EDC">
      <w:pPr>
        <w:pStyle w:val="Heading4"/>
        <w:spacing w:after="80"/>
        <w:ind w:left="-284"/>
        <w:rPr>
          <w:rFonts w:ascii="TitilliumText25L" w:hAnsi="TitilliumText25L"/>
          <w:color w:val="C60C30"/>
          <w:sz w:val="32"/>
          <w:szCs w:val="32"/>
        </w:rPr>
      </w:pPr>
      <w:r w:rsidRPr="00C169DB">
        <w:rPr>
          <w:rFonts w:ascii="TitilliumText25L" w:hAnsi="TitilliumText25L"/>
          <w:color w:val="C60C30"/>
          <w:sz w:val="32"/>
          <w:szCs w:val="32"/>
        </w:rPr>
        <w:t>BACKGROUND:</w:t>
      </w:r>
    </w:p>
    <w:p w:rsidR="00D34CAB" w:rsidRPr="00C169DB" w:rsidRDefault="00D34CAB" w:rsidP="00CF6EDC">
      <w:pPr>
        <w:spacing w:after="80"/>
        <w:ind w:left="-284"/>
        <w:rPr>
          <w:rFonts w:ascii="TitilliumText25L" w:eastAsiaTheme="minorHAnsi" w:hAnsi="TitilliumText25L" w:cstheme="minorHAnsi"/>
          <w:vertAlign w:val="superscript"/>
        </w:rPr>
      </w:pPr>
      <w:r w:rsidRPr="00C169DB">
        <w:rPr>
          <w:rFonts w:ascii="TitilliumText25L" w:eastAsiaTheme="minorHAnsi" w:hAnsi="TitilliumText25L" w:cstheme="minorHAnsi"/>
        </w:rPr>
        <w:t xml:space="preserve">Historically, two unit blood transfusions were </w:t>
      </w:r>
      <w:r w:rsidRPr="00C169DB">
        <w:rPr>
          <w:rFonts w:ascii="TitilliumText25L" w:eastAsiaTheme="minorHAnsi" w:hAnsi="TitilliumText25L" w:cstheme="minorHAnsi"/>
          <w:lang w:val="en-GB"/>
        </w:rPr>
        <w:t>common practice as a single unit was not considered sufficient to correct anaemia.</w:t>
      </w:r>
      <w:r w:rsidRPr="00C169DB">
        <w:rPr>
          <w:rFonts w:ascii="TitilliumText25L" w:eastAsiaTheme="minorHAnsi" w:hAnsi="TitilliumText25L" w:cstheme="minorHAnsi"/>
          <w:lang w:val="en-GB"/>
        </w:rPr>
        <w:fldChar w:fldCharType="begin" w:fldLock="1"/>
      </w:r>
      <w:r w:rsidRPr="00C169DB">
        <w:rPr>
          <w:rFonts w:ascii="TitilliumText25L" w:eastAsiaTheme="minorHAnsi" w:hAnsi="TitilliumText25L" w:cstheme="minorHAnsi"/>
          <w:lang w:val="en-GB"/>
        </w:rPr>
        <w:instrText>ADDIN CSL_CITATION { "citationItems" : [ { "id" : "ITEM-1", "itemData" : { "DOI" : "10.1111/j.1365-3148.2005.00592.x", "author" : [ { "dropping-particle" : "", "family" : "Ma", "given" : "M", "non-dropping-particle" : "", "parse-names" : false, "suffix" : "" }, { "dropping-particle" : "", "family" : "Eckert", "given" : "K", "non-dropping-particle" : "", "parse-names" : false, "suffix" : "" }, { "dropping-particle" : "", "family" : "Ralley", "given" : "F", "non-dropping-particle" : "", "parse-names" : false, "suffix" : "" }, { "dropping-particle" : "", "family" : "Chin-Yee", "given" : "I", "non-dropping-particle" : "", "parse-names" : false, "suffix" : "" } ], "container-title" : "Transfusion Medicine", "id" : "ITEM-1", "issued" : { "date-parts" : [ [ "2005" ] ] }, "page" : "307-312", "title" : "A retrospective study evaluating single-unit red blood cell transfusions in reducing allogeneic blood exposure", "type" : "article-journal", "volume" : "15" }, "uris" : [ "http://www.mendeley.com/documents/?uuid=19ce6532-0258-4cc4-82a3-caf33c150805" ] }, { "id" : "ITEM-2", "itemData" : { "DOI" : "10.3324/haematol.2011.047035", "author" : [ { "dropping-particle" : "", "family" : "Berger", "given" : "Martin David", "non-dropping-particle" : "", "parse-names" : false, "suffix" : "" }, { "dropping-particle" : "", "family" : "Gerber", "given" : "Bernhard", "non-dropping-particle" : "", "parse-names" : false, "suffix" : "" }, { "dropping-particle" : "", "family" : "Arn", "given" : "Kornelius", "non-dropping-particle" : "", "parse-names" : false, "suffix" : "" }, { "dropping-particle" : "", "family" : "Senn", "given" : "Oliver", "non-dropping-particle" : "", "parse-names" : false, "suffix" : "" }, { "dropping-particle" : "", "family" : "Schanz", "given" : "Urs", "non-dropping-particle" : "", "parse-names" : false, "suffix" : "" }, { "dropping-particle" : "", "family" : "Stussi", "given" : "Georg", "non-dropping-particle" : "", "parse-names" : false, "suffix" : "" } ], "container-title" : "haematologica", "id" : "ITEM-2", "issue" : "1", "issued" : { "date-parts" : [ [ "2012" ] ] }, "page" : "116-122", "title" : "Significant reduction of red blood cell transfusion requirements by changing from a double-unit to a single-unit transfusion policy in patients receiving intensive chemotherapy or stem cell transplantation", "type" : "article-journal", "volume" : "97" }, "uris" : [ "http://www.mendeley.com/documents/?uuid=e3206e28-32bb-4aa7-9a73-14d547dcc572" ] } ], "mendeley" : { "previouslyFormattedCitation" : "&lt;sup&gt;13,14&lt;/sup&gt;" }, "properties" : { "noteIndex" : 0 }, "schema" : "https://github.com/citation-style-language/schema/raw/master/csl-citation.json" }</w:instrText>
      </w:r>
      <w:r w:rsidRPr="00C169DB">
        <w:rPr>
          <w:rFonts w:ascii="TitilliumText25L" w:eastAsiaTheme="minorHAnsi" w:hAnsi="TitilliumText25L" w:cstheme="minorHAnsi"/>
          <w:lang w:val="en-GB"/>
        </w:rPr>
        <w:fldChar w:fldCharType="separate"/>
      </w:r>
      <w:r w:rsidRPr="00C169DB">
        <w:rPr>
          <w:rFonts w:ascii="TitilliumText25L" w:eastAsiaTheme="minorHAnsi" w:hAnsi="TitilliumText25L" w:cstheme="minorHAnsi"/>
          <w:noProof/>
          <w:vertAlign w:val="superscript"/>
          <w:lang w:val="en-GB"/>
        </w:rPr>
        <w:t>13,14</w:t>
      </w:r>
      <w:r w:rsidRPr="00C169DB">
        <w:rPr>
          <w:rFonts w:ascii="TitilliumText25L" w:eastAsiaTheme="minorHAnsi" w:hAnsi="TitilliumText25L" w:cstheme="minorHAnsi"/>
          <w:lang w:val="en-GB"/>
        </w:rPr>
        <w:fldChar w:fldCharType="end"/>
      </w:r>
      <w:r w:rsidRPr="00C169DB">
        <w:rPr>
          <w:rFonts w:ascii="TitilliumText25L" w:eastAsiaTheme="minorHAnsi" w:hAnsi="TitilliumText25L" w:cstheme="minorHAnsi"/>
        </w:rPr>
        <w:t xml:space="preserve"> Transfusion was often habitual /cultural, according to haemoglobin and not based on evidence of benefit. Current evidence now demonstrates that increased morbidity, mortality and length of hospital stay may be associated with transfusion.</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"Koch CG  Duncan AI et al", "given" : "Li L", "non-dropping-particle" : "", "parse-names" : false, "suffix" : "" } ], "container-title" : "Crit Care Med 2006", "id" : "ITEM-1", "issue" : "34", "issued" : { "date-parts" : [ [ "2006" ] ] }, "page" : "1608-1616", "title" : "Morbidity and mortality risk associated with red blood cell and blood-component transfusion in isolated coronary artery bypass grafting.", "type" : "article-journal", "volume" : "34" }, "uris" : [ "http://www.mendeley.com/documents/?uuid=92a943f7-35b9-4e46-948d-e1033d47cc97" ] }, { "id" : "ITEM-2", "itemData" : { "author" : [ { "dropping-particle" : "", "family" : "Hajjar LA Vincent JL et al.", "given" : "", "non-dropping-particle" : "", "parse-names" : false, "suffix" : "" } ], "container-title" : "JAMA - Journal of the American Medical Association", "id" : "ITEM-2", "issue" : "304", "issued" : { "date-parts" : [ [ "0" ] ] }, "page" : "304:1559-1567", "title" : "Transfusion requirements after cardiac surgery: the TRACS randomised controlled trial.", "type" : "article-journal", "volume" : "304" }, "uris" : [ "http://www.mendeley.com/documents/?uuid=f204d20a-6164-4ae2-8c61-0482cc10f507" ] } ], "mendeley" : { "previouslyFormattedCitation" : "&lt;sup&gt;9,10&lt;/sup&gt;"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9,10</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w:t>
      </w:r>
    </w:p>
    <w:p w:rsidR="00D34CAB" w:rsidRPr="00C169DB" w:rsidRDefault="00D34CAB" w:rsidP="00CF6EDC">
      <w:pPr>
        <w:pStyle w:val="Heading4"/>
        <w:spacing w:after="80"/>
        <w:ind w:left="-284"/>
        <w:rPr>
          <w:rFonts w:ascii="TitilliumText25L" w:hAnsi="TitilliumText25L"/>
          <w:color w:val="C60C30"/>
          <w:sz w:val="32"/>
          <w:szCs w:val="32"/>
        </w:rPr>
      </w:pPr>
      <w:r w:rsidRPr="00C169DB">
        <w:rPr>
          <w:rFonts w:ascii="TitilliumText25L" w:hAnsi="TitilliumText25L"/>
          <w:color w:val="C60C30"/>
          <w:sz w:val="32"/>
          <w:szCs w:val="32"/>
        </w:rPr>
        <w:t>ASSESSMENT:</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Blood transfusion is a live tissue transplant.</w:t>
      </w:r>
      <w:r w:rsidRPr="00C169DB">
        <w:rPr>
          <w:rFonts w:ascii="TitilliumText25L" w:eastAsiaTheme="minorHAnsi" w:hAnsi="TitilliumText25L" w:cstheme="minorHAnsi"/>
          <w:b/>
        </w:rPr>
        <w:t xml:space="preserve"> </w:t>
      </w:r>
      <w:r w:rsidRPr="00C169DB">
        <w:rPr>
          <w:rFonts w:ascii="TitilliumText25L" w:eastAsiaTheme="minorHAnsi" w:hAnsi="TitilliumText25L" w:cstheme="minorHAnsi"/>
        </w:rPr>
        <w:t xml:space="preserve">Emerging evidence of harm from transfusion requires a precautionary approach to balance risk with benefit for </w:t>
      </w:r>
      <w:r w:rsidRPr="00C169DB">
        <w:rPr>
          <w:rFonts w:ascii="TitilliumText25L" w:eastAsiaTheme="minorHAnsi" w:hAnsi="TitilliumText25L" w:cstheme="minorHAnsi"/>
          <w:b/>
        </w:rPr>
        <w:t>each unit</w:t>
      </w:r>
      <w:r w:rsidRPr="00C169DB">
        <w:rPr>
          <w:rFonts w:ascii="TitilliumText25L" w:eastAsiaTheme="minorHAnsi" w:hAnsi="TitilliumText25L" w:cstheme="minorHAnsi"/>
        </w:rPr>
        <w:t>.</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"DOI" : "10.1634/theoncologist.2011-S3-3", "abstract" : "The objective of this paper is to introduce clinicians and health care professionals to the concept of patient blood management (PBM) and to explain the difference between PBM and the concept of \"appropriate use\" of blood products. The five reasons why modern health systems need to shift from product-focused transfusion practice to PBM are also presented. These are: the aging population with a leveraged demand for blood products opposed to a shrinking donor base; the growing awareness that transfusion is a complex service involving many different cost centers within a hospital and representing a multiple of the blood product cost; the continuous effort to protect blood pools from known, new, or re-emerging pathogens while facing uncertainty over their potentially long silent carrier states; the emerging evidence that transfusion is an independent risk factor for adverse outcomes; and finally, a lack of evidence for benefit of transfusion for the vast majority of recipients.", "author" : [ { "dropping-particle" : "", "family" : "Hofmann", "given" : "Axel", "non-dropping-particle" : "", "parse-names" : false, "suffix" : "" }, { "dropping-particle" : "", "family" : "Farmer", "given" : "Shannon", "non-dropping-particle" : "", "parse-names" : false, "suffix" : "" }, { "dropping-particle" : "", "family" : "Shander", "given" : "Aryeh", "non-dropping-particle" : "", "parse-names" : false, "suffix" : "" } ], "container-title" : "The oncologist", "id" : "ITEM-1", "issued" : { "date-parts" : [ [ "2011" ] ] }, "page" : "3-11", "title" : "Five drivers shifting the paradigm from product-focused transfusion practice to patient blood management.", "type" : "article-journal", "volume" : "16 Suppl 3" }, "uris" : [ "http://www.mendeley.com/documents/?uuid=3a94e34c-9f7b-496c-af50-99a9cf529f48" ] }, { "id" : "ITEM-2", "itemData" : { "DOI" : "10.1097/ACO.0b013e32834eb726", "abstract" : "PURPOSE OF REVIEW: Evidence-based patient blood management (PBM) is aimed at achieving better patient outcomes by relying on a patient's own blood rather than on donor blood. This review covers the rationale behind PBM, the treatment modalities involved and the drivers to adopt PBM as a new standard of care. RECENT FINDINGS: Transfusion rates vary significantly between comparable countries; they also vary between centers for matched patients in standardized elective surgical interventions. Preoperative anemia, perioperative blood loss and liberal transfusion triggers are the main predictors for transfusion and pose risks to the patient. PBM is mitigating these risks by optimizing the patient's native red cell mass, minimizing blood loss, optimizing the physiological reserve of anemia and preempting transfusions. A growing number of studies show that transfusion is associated in a dose-dependent relationship with increased morbidity, mortality and hospital length of stay. Evidence suggests that this relationship is not merely associative but causal. Furthermore, the over-ageing population of the developed world leads to a growing gap between supply and demand of blood, the safety of donor blood remains unpredictable and the cost of transfusion is much higher than previously estimated. SUMMARY: High transfusion variability, adverse transfusion outcomes, limited evidence for the benefit of transfusion particularly in elective patients and high cost of transfusion are challenging the traditional transfusion paradigm. National and state-wide initiatives are underway in Australia to broadly implement PBM and PBM programs as a new and cost-effective standard of care in the public health system.", "author" : [ { "dropping-particle" : "", "family" : "Hofmann", "given" : "Axel", "non-dropping-particle" : "", "parse-names" : false, "suffix" : "" }, { "dropping-particle" : "", "family" : "Farmer", "given" : "Shannon", "non-dropping-particle" : "", "parse-names" : false, "suffix" : "" }, { "dropping-particle" : "", "family" : "Towler", "given" : "Simon C", "non-dropping-particle" : "", "parse-names" : false, "suffix" : "" } ], "container-title" : "Current opinion in anaesthesiology", "id" : "ITEM-2", "issue" : "1", "issued" : { "date-parts" : [ [ "2012" ] ] }, "page" : "66-73", "title" : "Strategies to preempt and reduce the use of blood products: an Australian perspective.", "type" : "article-journal", "volume" : "25" }, "uris" : [ "http://www.mendeley.com/documents/?uuid=bd9ad883-c5dd-465f-bd70-928259714a47" ] } ], "mendeley" : { "previouslyFormattedCitation" : "&lt;sup&gt;11,12&lt;/sup&gt;"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11,12</w:t>
      </w:r>
      <w:r w:rsidRPr="00C169DB">
        <w:rPr>
          <w:rFonts w:ascii="TitilliumText25L" w:eastAsiaTheme="minorHAnsi" w:hAnsi="TitilliumText25L" w:cstheme="minorHAnsi"/>
        </w:rPr>
        <w:fldChar w:fldCharType="end"/>
      </w:r>
      <w:r w:rsidRPr="00C169DB">
        <w:rPr>
          <w:rFonts w:ascii="TitilliumText25L" w:eastAsiaTheme="minorHAnsi" w:hAnsi="TitilliumText25L" w:cstheme="minorHAnsi"/>
        </w:rPr>
        <w:t xml:space="preserve"> Single unit transfusions are appropriate in patients who do not have clinically significant bleeding and reduce risk.</w:t>
      </w:r>
      <w:r w:rsidRPr="00C169DB">
        <w:rPr>
          <w:rFonts w:ascii="TitilliumText25L" w:eastAsiaTheme="minorHAnsi" w:hAnsi="TitilliumText25L" w:cstheme="minorHAnsi"/>
        </w:rPr>
        <w:fldChar w:fldCharType="begin" w:fldLock="1"/>
      </w:r>
      <w:r w:rsidRPr="00C169DB">
        <w:rPr>
          <w:rFonts w:ascii="TitilliumText25L" w:eastAsiaTheme="minorHAnsi" w:hAnsi="TitilliumText25L" w:cstheme="minorHAnsi"/>
        </w:rPr>
        <w:instrText>ADDIN CSL_CITATION { "citationItems" : [ { "id" : "ITEM-1", "itemData" : { "author" : [ { "dropping-particle" : "", "family" : "The British Committee for Standards in Haematology", "given" : "", "non-dropping-particle" : "", "parse-names" : false, "suffix" : "" } ], "id" : "ITEM-1", "issue" : "August", "issued" : { "date-parts" : [ [ "2012" ] ] }, "page" : "1-4", "title" : "Guidelines on the Administration of Blood Components. Addendum to Administration of Blood Components, August 2012", "type" : "article-journal" }, "uris" : [ "http://www.mendeley.com/documents/?uuid=57a24f16-b5f2-461f-b1a8-01a5254b1f19" ] }, { "id" : "ITEM-2", "itemData" : { "DOI" : "10.1002/14651858.CD002042.pub3", "abstract" : "BACKGROUND: Most clinical practice guidelines recommend restrictive red cell transfusion practices, with the goal of minimising exposure to allogeneic blood. The purpose of this review is to compare clinical outcomes in patients randomised to restrictive versus liberal transfusion thresholds (triggers).\n\nOBJECTIVES: To examine the evidence for the effect of transfusion thresholds on the use of allogeneic and/or autologous red cell transfusion, and the evidence for any effect on clinical outcomes.\n\nSEARCH METHODS: We identified trials by searching; The Cochrane Injuries Group Specialised Register (searched 01 Feb 2011), Cochrane Central Register of Controlled Trials 2011, issue 1 (The Cochrane Library), MEDLINE (Ovid) 1948 to January Week 3 2011, EMBASE (Ovid) 1980 to 2011 (Week 04), ISI Web of Science: Science Citation Index Expanded (1970 to Feb 2011), ISI Web of Science: Conference Proceedings Citation Index- Science (1990 to Feb 2011). We checked reference lists of other published reviews and relevant papers to identify any additional trials.\n\nSELECTION CRITERIA: Controlled trials in which patients were randomised to an intervention group or to a control group. Trials were included where intervention groups were assigned on the basis of a clear transfusion 'trigger', described as a haemoglobin (Hb) or haematocrit (Hct) level below which a red blood cell (RBC) transfusion was to be administered.\n\nDATA COLLECTION AND ANALYSIS: Risk ratios of requiring allogeneic blood transfusion, transfused blood volumes and other clinical outcomes were pooled across trials, using a random effects model. Data extraction and assessment of the risk of bias was performed by two people.\n\nMAIN RESULTS: Nineteen trials involving a total of 6264 patients were identified, and were similar enough that the results could be combined. Restrictive transfusion strategies reduced the risk of receiving a RBC transfusion by 39% (RR 0.61, 95% CI 0.52 to 0.72). This equates to an average absolute risk reduction (ARR) of 34% (95% CI 24% to 45%). The volume of RBCs transfused was reduced on average by 1.19 units (95% CI 0.53 to 1.85 units). However, heterogeneity between trials was statistically significant (P&lt;0.00001; I(2)\u226593%) for these outcomes. Restrictive transfusion strategies did not appear to impact the rate of adverse events compared to liberal transfusion strategies (i.e. mortality, cardiac events, myocardial infarction, stroke, pneumonia and thromboembolism). Restrictive transf\u2026", "author" : [ { "dropping-particle" : "", "family" : "Carson", "given" : "Jeffrey L", "non-dropping-particle" : "", "parse-names" : false, "suffix" : "" }, { "dropping-particle" : "", "family" : "Carless", "given" : "Paul a", "non-dropping-particle" : "", "parse-names" : false, "suffix" : "" }, { "dropping-particle" : "", "family" : "Hebert", "given" : "Paul C", "non-dropping-particle" : "", "parse-names" : false, "suffix" : "" } ], "container-title" : "The Cochrane database of systematic reviews", "id" : "ITEM-2", "issue" : "1", "issued" : { "date-parts" : [ [ "2012", "1" ] ] }, "page" : "CD002042", "title" : "Transfusion thresholds and other strategies for guiding allogeneic red blood cell transfusion.", "type" : "article-journal", "volume" : "4" }, "uris" : [ "http://www.mendeley.com/documents/?uuid=40e56cac-2714-466c-8f42-7cedb9f17339" ] }, { "id" : "ITEM-3", "itemData" : { "author" : [ { "dropping-particle" : "", "family" : "Webert", "given" : "Kathryn E", "non-dropping-particle" : "", "parse-names" : false, "suffix" : "" }, { "dropping-particle" : "", "family" : "Arnold", "given" : "Donald M", "non-dropping-particle" : "", "parse-names" : false, "suffix" : "" }, { "dropping-particle" : "", "family" : "Lui", "given" : "Yang", "non-dropping-particle" : "", "parse-names" : false, "suffix" : "" }, { "dropping-particle" : "", "family" : "Carruthers", "given" : "Julie", "non-dropping-particle" : "", "parse-names" : false, "suffix" : "" }, { "dropping-particle" : "", "family" : "Arnold", "given" : "Emmy", "non-dropping-particle" : "", "parse-names" : false, "suffix" : "" }, { "dropping-particle" : "", "family" : "Heddle", "given" : "Nancy M", "non-dropping-particle" : "", "parse-names" : false, "suffix" : "" } ], "container-title" : "Transfusion Practice", "id" : "ITEM-3", "issue" : "November", "issued" : { "date-parts" : [ [ "2012" ] ] }, "page" : "2466-2474", "title" : "A new tool to assess bleeding severity in patients with chemotherapy-induced thrmbocytopaenia", "type" : "article-journal", "volume" : "52" }, "uris" : [ "http://www.mendeley.com/documents/?uuid=562c39d6-8041-4e1e-a9c8-0be872a1e516" ] } ], "mendeley" : { "previouslyFormattedCitation" : "&lt;sup&gt;3,15,16&lt;/sup&gt;" }, "properties" : { "noteIndex" : 0 }, "schema" : "https://github.com/citation-style-language/schema/raw/master/csl-citation.json" }</w:instrText>
      </w:r>
      <w:r w:rsidRPr="00C169DB">
        <w:rPr>
          <w:rFonts w:ascii="TitilliumText25L" w:eastAsiaTheme="minorHAnsi" w:hAnsi="TitilliumText25L" w:cstheme="minorHAnsi"/>
        </w:rPr>
        <w:fldChar w:fldCharType="separate"/>
      </w:r>
      <w:r w:rsidRPr="00C169DB">
        <w:rPr>
          <w:rFonts w:ascii="TitilliumText25L" w:eastAsiaTheme="minorHAnsi" w:hAnsi="TitilliumText25L" w:cstheme="minorHAnsi"/>
          <w:noProof/>
          <w:vertAlign w:val="superscript"/>
        </w:rPr>
        <w:t>3,15,16</w:t>
      </w:r>
      <w:r w:rsidRPr="00C169DB">
        <w:rPr>
          <w:rFonts w:ascii="TitilliumText25L" w:eastAsiaTheme="minorHAnsi" w:hAnsi="TitilliumText25L" w:cstheme="minorHAnsi"/>
        </w:rPr>
        <w:fldChar w:fldCharType="end"/>
      </w:r>
    </w:p>
    <w:p w:rsidR="00D34CAB" w:rsidRPr="00C169DB" w:rsidRDefault="00D34CAB" w:rsidP="00CF6EDC">
      <w:pPr>
        <w:pStyle w:val="Heading4"/>
        <w:spacing w:after="80"/>
        <w:ind w:left="-284"/>
        <w:rPr>
          <w:rFonts w:ascii="TitilliumText25L" w:hAnsi="TitilliumText25L"/>
          <w:color w:val="C60C30"/>
          <w:sz w:val="32"/>
          <w:szCs w:val="32"/>
        </w:rPr>
      </w:pPr>
      <w:r w:rsidRPr="00C169DB">
        <w:rPr>
          <w:rFonts w:ascii="TitilliumText25L" w:hAnsi="TitilliumText25L"/>
          <w:color w:val="C60C30"/>
          <w:sz w:val="32"/>
          <w:szCs w:val="32"/>
        </w:rPr>
        <w:t>RECOMMENDATION:</w:t>
      </w:r>
    </w:p>
    <w:p w:rsidR="00D34CAB" w:rsidRPr="00C169DB" w:rsidRDefault="00D34CAB" w:rsidP="00CF6EDC">
      <w:pPr>
        <w:spacing w:after="80"/>
        <w:ind w:left="-284"/>
        <w:rPr>
          <w:rFonts w:ascii="TitilliumText25L" w:eastAsiaTheme="minorHAnsi" w:hAnsi="TitilliumText25L" w:cstheme="minorHAnsi"/>
          <w:lang w:val="en-GB"/>
        </w:rPr>
      </w:pPr>
      <w:r w:rsidRPr="00C169DB">
        <w:rPr>
          <w:rFonts w:ascii="TitilliumText25L" w:eastAsiaTheme="minorHAnsi" w:hAnsi="TitilliumText25L" w:cstheme="minorHAnsi"/>
        </w:rPr>
        <w:t xml:space="preserve">Obtain informed </w:t>
      </w:r>
      <w:r w:rsidRPr="00C169DB">
        <w:rPr>
          <w:rFonts w:ascii="TitilliumText25L" w:eastAsiaTheme="minorHAnsi" w:hAnsi="TitilliumText25L" w:cstheme="minorHAnsi"/>
          <w:lang w:val="en-GB"/>
        </w:rPr>
        <w:t xml:space="preserve">consent from the patient or responsible person/guardian prior to prescribing a red blood cell transfusion. </w:t>
      </w:r>
    </w:p>
    <w:p w:rsidR="00D34CAB" w:rsidRPr="00C169DB" w:rsidRDefault="00D34CAB" w:rsidP="00CF6EDC">
      <w:pPr>
        <w:spacing w:after="80"/>
        <w:ind w:left="-284"/>
        <w:rPr>
          <w:rFonts w:ascii="TitilliumText25L" w:eastAsiaTheme="minorHAnsi" w:hAnsi="TitilliumText25L" w:cstheme="minorHAnsi"/>
        </w:rPr>
      </w:pPr>
      <w:r w:rsidRPr="00C169DB">
        <w:rPr>
          <w:rFonts w:ascii="TitilliumText25L" w:eastAsiaTheme="minorHAnsi" w:hAnsi="TitilliumText25L" w:cstheme="minorHAnsi"/>
        </w:rPr>
        <w:t>Ensure the safety and efficacy of red blood cell transfusion by confirming every unit transfused is an independent clinical decision where the expected benefit outweighs the risks and alternatives have been considered.</w:t>
      </w:r>
    </w:p>
    <w:p w:rsidR="00D35287" w:rsidRPr="00C169DB" w:rsidRDefault="00D34CAB" w:rsidP="00CF6EDC">
      <w:pPr>
        <w:spacing w:after="120"/>
        <w:ind w:left="-284"/>
        <w:rPr>
          <w:rFonts w:ascii="TitilliumText25L" w:eastAsiaTheme="minorHAnsi" w:hAnsi="TitilliumText25L" w:cstheme="minorHAnsi"/>
        </w:rPr>
      </w:pPr>
      <w:r w:rsidRPr="00C169DB">
        <w:rPr>
          <w:rFonts w:ascii="TitilliumText25L" w:eastAsiaTheme="minorHAnsi" w:hAnsi="TitilliumText25L" w:cstheme="minorHAnsi"/>
        </w:rPr>
        <w:t>Where indicated, transfuse a single unit of red blood cells, then clinically reassess the patient to determine if further transfusion is required. Transfusion should not be based on haemoglobin level alone but should also be based on an assessment of the patient’s clinical status.</w:t>
      </w:r>
      <w:r w:rsidRPr="00C169DB">
        <w:rPr>
          <w:rFonts w:ascii="TitilliumText25L" w:eastAsiaTheme="minorHAnsi" w:hAnsi="TitilliumText25L" w:cstheme="minorHAnsi"/>
          <w:vertAlign w:val="superscript"/>
        </w:rPr>
        <w:fldChar w:fldCharType="begin" w:fldLock="1"/>
      </w:r>
      <w:r w:rsidRPr="00C169DB">
        <w:rPr>
          <w:rFonts w:ascii="TitilliumText25L" w:eastAsiaTheme="minorHAnsi" w:hAnsi="TitilliumText25L" w:cstheme="minorHAnsi"/>
          <w:vertAlign w:val="superscript"/>
        </w:rPr>
        <w:instrText>ADDIN CSL_CITATION { "citationItems" : [ { "id" : "ITEM-1", "itemData" : { "author" : [ { "dropping-particle" : "", "family" : "National Blood Authority", "given" : "", "non-dropping-particle" : "", "parse-names" : false, "suffix" : "" } ], "id" : "ITEM-1", "issued" : { "date-parts" : [ [ "2012" ] ] }, "publisher" : "National Blood Authority", "publisher-place" : "Canberra, Australia", "title" : "Patient blood management guidelines: Module 3 \u2013 Medical", "type" : "book" }, "uris" : [ "http://www.mendeley.com/documents/?uuid=0b45fa2d-24ab-49d5-a0df-007d328f5e3b" ] }, { "id" : "ITEM-2", "itemData" : { "author" : [ { "dropping-particle" : "", "family" : "National Blood Authority", "given" : "", "non-dropping-particle" : "", "parse-names" : false, "suffix" : "" } ], "id" : "ITEM-2", "issued" : { "date-parts" : [ [ "2013" ] ] }, "publisher-place" : "Canberra, Australia", "title" : "Patient blood management guidelines: Module 4 \u2013 Critical Care", "type" : "book" }, "uris" : [ "http://www.mendeley.com/documents/?uuid=ea39fd74-ab5a-47df-93c5-ce717f8041eb" ] } ], "mendeley" : { "previouslyFormattedCitation" : "&lt;sup&gt;1,2&lt;/sup&gt;" }, "properties" : { "noteIndex" : 0 }, "schema" : "https://github.com/citation-style-language/schema/raw/master/csl-citation.json" }</w:instrText>
      </w:r>
      <w:r w:rsidRPr="00C169DB">
        <w:rPr>
          <w:rFonts w:ascii="TitilliumText25L" w:eastAsiaTheme="minorHAnsi" w:hAnsi="TitilliumText25L" w:cstheme="minorHAnsi"/>
          <w:vertAlign w:val="superscript"/>
        </w:rPr>
        <w:fldChar w:fldCharType="separate"/>
      </w:r>
      <w:r w:rsidRPr="00C169DB">
        <w:rPr>
          <w:rFonts w:ascii="TitilliumText25L" w:eastAsiaTheme="minorHAnsi" w:hAnsi="TitilliumText25L" w:cstheme="minorHAnsi"/>
          <w:noProof/>
          <w:vertAlign w:val="superscript"/>
        </w:rPr>
        <w:t>1,2</w:t>
      </w:r>
      <w:r w:rsidRPr="00C169DB">
        <w:rPr>
          <w:rFonts w:ascii="TitilliumText25L" w:eastAsiaTheme="minorHAnsi" w:hAnsi="TitilliumText25L" w:cstheme="minorHAnsi"/>
          <w:vertAlign w:val="superscript"/>
        </w:rPr>
        <w:fldChar w:fldCharType="end"/>
      </w:r>
      <w:r w:rsidRPr="00C169DB">
        <w:rPr>
          <w:rFonts w:ascii="TitilliumText25L" w:eastAsiaTheme="minorHAnsi" w:hAnsi="TitilliumText25L" w:cstheme="minorHAnsi"/>
        </w:rPr>
        <w:t xml:space="preserve"> </w:t>
      </w:r>
    </w:p>
    <w:p w:rsidR="00D34CAB" w:rsidRPr="00C169DB" w:rsidRDefault="00D34CAB" w:rsidP="00D34CAB">
      <w:pPr>
        <w:pStyle w:val="Heading4"/>
        <w:rPr>
          <w:rFonts w:ascii="TitilliumText25L" w:hAnsi="TitilliumText25L"/>
          <w:color w:val="C60C30"/>
          <w:sz w:val="32"/>
          <w:szCs w:val="32"/>
        </w:rPr>
      </w:pPr>
      <w:r w:rsidRPr="00C169DB">
        <w:rPr>
          <w:rFonts w:ascii="TitilliumText25L" w:hAnsi="TitilliumText25L"/>
          <w:color w:val="C60C30"/>
          <w:sz w:val="32"/>
          <w:szCs w:val="32"/>
        </w:rPr>
        <w:t>REFERENCES:</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theme="minorHAnsi"/>
          <w:sz w:val="22"/>
          <w:szCs w:val="22"/>
        </w:rPr>
        <w:fldChar w:fldCharType="begin" w:fldLock="1"/>
      </w:r>
      <w:r w:rsidRPr="00C169DB">
        <w:rPr>
          <w:rFonts w:ascii="TitilliumText25L" w:hAnsi="TitilliumText25L" w:cstheme="minorHAnsi"/>
          <w:sz w:val="22"/>
          <w:szCs w:val="22"/>
        </w:rPr>
        <w:instrText xml:space="preserve">ADDIN Mendeley Bibliography CSL_BIBLIOGRAPHY </w:instrText>
      </w:r>
      <w:r w:rsidRPr="00C169DB">
        <w:rPr>
          <w:rFonts w:ascii="TitilliumText25L" w:hAnsi="TitilliumText25L" w:cstheme="minorHAnsi"/>
          <w:sz w:val="22"/>
          <w:szCs w:val="22"/>
        </w:rPr>
        <w:fldChar w:fldCharType="separate"/>
      </w:r>
      <w:r w:rsidRPr="00C169DB">
        <w:rPr>
          <w:rFonts w:ascii="TitilliumText25L" w:hAnsi="TitilliumText25L" w:cs="Calibri"/>
          <w:noProof/>
          <w:sz w:val="22"/>
          <w:szCs w:val="22"/>
        </w:rPr>
        <w:t>1.</w:t>
      </w:r>
      <w:r w:rsidRPr="00C169DB">
        <w:rPr>
          <w:rFonts w:ascii="TitilliumText25L" w:hAnsi="TitilliumText25L" w:cs="Calibri"/>
          <w:noProof/>
          <w:sz w:val="22"/>
          <w:szCs w:val="22"/>
        </w:rPr>
        <w:tab/>
        <w:t xml:space="preserve">National Blood Authority </w:t>
      </w:r>
      <w:r w:rsidRPr="00C169DB">
        <w:rPr>
          <w:rFonts w:ascii="TitilliumText25L" w:hAnsi="TitilliumText25L" w:cs="Calibri"/>
          <w:iCs/>
          <w:noProof/>
          <w:sz w:val="22"/>
          <w:szCs w:val="22"/>
        </w:rPr>
        <w:t>Patient blood management guidelines: Module 3 – Medical</w:t>
      </w:r>
      <w:r w:rsidRPr="00C169DB">
        <w:rPr>
          <w:rFonts w:ascii="TitilliumText25L" w:hAnsi="TitilliumText25L" w:cs="Calibri"/>
          <w:noProof/>
          <w:sz w:val="22"/>
          <w:szCs w:val="22"/>
        </w:rPr>
        <w:t>. (National Blood Authority: Canberra, Australia, 2012).at &lt;</w:t>
      </w:r>
      <w:hyperlink r:id="rId62" w:history="1">
        <w:r w:rsidRPr="00C169DB">
          <w:rPr>
            <w:rStyle w:val="Hyperlink"/>
            <w:rFonts w:ascii="TitilliumText25L" w:hAnsi="TitilliumText25L" w:cs="Calibri"/>
            <w:noProof/>
            <w:sz w:val="22"/>
            <w:szCs w:val="22"/>
          </w:rPr>
          <w:t>http://www.blood.gov.au/pbm-guidelines</w:t>
        </w:r>
      </w:hyperlink>
      <w:r w:rsidRPr="00C169DB">
        <w:rPr>
          <w:rFonts w:ascii="TitilliumText25L" w:hAnsi="TitilliumText25L" w:cs="Calibri"/>
          <w:noProof/>
          <w:sz w:val="22"/>
          <w:szCs w:val="22"/>
        </w:rPr>
        <w:t>&gt;</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2.</w:t>
      </w:r>
      <w:r w:rsidRPr="00C169DB">
        <w:rPr>
          <w:rFonts w:ascii="TitilliumText25L" w:hAnsi="TitilliumText25L" w:cs="Calibri"/>
          <w:noProof/>
          <w:sz w:val="22"/>
          <w:szCs w:val="22"/>
        </w:rPr>
        <w:tab/>
        <w:t xml:space="preserve">National Blood Authority </w:t>
      </w:r>
      <w:r w:rsidRPr="00C169DB">
        <w:rPr>
          <w:rFonts w:ascii="TitilliumText25L" w:hAnsi="TitilliumText25L" w:cs="Calibri"/>
          <w:iCs/>
          <w:noProof/>
          <w:sz w:val="22"/>
          <w:szCs w:val="22"/>
        </w:rPr>
        <w:t>Patient blood management guidelines: Module 4 – Critical Care</w:t>
      </w:r>
      <w:r w:rsidRPr="00C169DB">
        <w:rPr>
          <w:rFonts w:ascii="TitilliumText25L" w:hAnsi="TitilliumText25L" w:cs="Calibri"/>
          <w:noProof/>
          <w:sz w:val="22"/>
          <w:szCs w:val="22"/>
        </w:rPr>
        <w:t>. (Canberra, Australia, 2013).at &lt;</w:t>
      </w:r>
      <w:hyperlink r:id="rId63" w:history="1">
        <w:r w:rsidRPr="00C169DB">
          <w:rPr>
            <w:rStyle w:val="Hyperlink"/>
            <w:rFonts w:ascii="TitilliumText25L" w:hAnsi="TitilliumText25L" w:cs="Calibri"/>
            <w:noProof/>
            <w:sz w:val="22"/>
            <w:szCs w:val="22"/>
          </w:rPr>
          <w:t>http://www.blood.gov.au/pbm-guidelines</w:t>
        </w:r>
      </w:hyperlink>
      <w:r w:rsidRPr="00C169DB">
        <w:rPr>
          <w:rFonts w:ascii="TitilliumText25L" w:hAnsi="TitilliumText25L" w:cs="Calibri"/>
          <w:noProof/>
          <w:sz w:val="22"/>
          <w:szCs w:val="22"/>
        </w:rPr>
        <w:t>&gt;</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3.</w:t>
      </w:r>
      <w:r w:rsidRPr="00C169DB">
        <w:rPr>
          <w:rFonts w:ascii="TitilliumText25L" w:hAnsi="TitilliumText25L" w:cs="Calibri"/>
          <w:noProof/>
          <w:sz w:val="22"/>
          <w:szCs w:val="22"/>
        </w:rPr>
        <w:tab/>
        <w:t xml:space="preserve">Webert, K. E. </w:t>
      </w:r>
      <w:r w:rsidRPr="00C169DB">
        <w:rPr>
          <w:rFonts w:ascii="TitilliumText25L" w:hAnsi="TitilliumText25L" w:cs="Calibri"/>
          <w:iCs/>
          <w:noProof/>
          <w:sz w:val="22"/>
          <w:szCs w:val="22"/>
        </w:rPr>
        <w:t>et al.</w:t>
      </w:r>
      <w:r w:rsidRPr="00C169DB">
        <w:rPr>
          <w:rFonts w:ascii="TitilliumText25L" w:hAnsi="TitilliumText25L" w:cs="Calibri"/>
          <w:noProof/>
          <w:sz w:val="22"/>
          <w:szCs w:val="22"/>
        </w:rPr>
        <w:t xml:space="preserve"> A new tool to assess bleeding severity in patients with chemotherapy-induced thrmbocytopaenia. </w:t>
      </w:r>
      <w:r w:rsidRPr="00C169DB">
        <w:rPr>
          <w:rFonts w:ascii="TitilliumText25L" w:hAnsi="TitilliumText25L" w:cs="Calibri"/>
          <w:iCs/>
          <w:noProof/>
          <w:sz w:val="22"/>
          <w:szCs w:val="22"/>
        </w:rPr>
        <w:t>Transfusion Practice</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52</w:t>
      </w:r>
      <w:r w:rsidRPr="00C169DB">
        <w:rPr>
          <w:rFonts w:ascii="TitilliumText25L" w:hAnsi="TitilliumText25L" w:cs="Calibri"/>
          <w:noProof/>
          <w:sz w:val="22"/>
          <w:szCs w:val="22"/>
        </w:rPr>
        <w:t>, 2466–2474 (2012).</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4.</w:t>
      </w:r>
      <w:r w:rsidRPr="00C169DB">
        <w:rPr>
          <w:rFonts w:ascii="TitilliumText25L" w:hAnsi="TitilliumText25L" w:cs="Calibri"/>
          <w:noProof/>
          <w:sz w:val="22"/>
          <w:szCs w:val="22"/>
        </w:rPr>
        <w:tab/>
        <w:t xml:space="preserve">Carson, J. L. Red blood cell transfusion: a clinical practice guideline from the AABB. </w:t>
      </w:r>
      <w:r w:rsidRPr="00C169DB">
        <w:rPr>
          <w:rFonts w:ascii="TitilliumText25L" w:hAnsi="TitilliumText25L" w:cs="Calibri"/>
          <w:iCs/>
          <w:noProof/>
          <w:sz w:val="22"/>
          <w:szCs w:val="22"/>
        </w:rPr>
        <w:t>Annals of Internal Medicine</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157</w:t>
      </w:r>
      <w:r w:rsidRPr="00C169DB">
        <w:rPr>
          <w:rFonts w:ascii="TitilliumText25L" w:hAnsi="TitilliumText25L" w:cs="Calibri"/>
          <w:noProof/>
          <w:sz w:val="22"/>
          <w:szCs w:val="22"/>
        </w:rPr>
        <w:t>, 49–58 (2012).</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5.</w:t>
      </w:r>
      <w:r w:rsidRPr="00C169DB">
        <w:rPr>
          <w:rFonts w:ascii="TitilliumText25L" w:hAnsi="TitilliumText25L" w:cs="Calibri"/>
          <w:noProof/>
          <w:sz w:val="22"/>
          <w:szCs w:val="22"/>
        </w:rPr>
        <w:tab/>
        <w:t xml:space="preserve">Rossi, E. C. Anaemia and Red cell Transfusion. </w:t>
      </w:r>
      <w:r w:rsidRPr="00C169DB">
        <w:rPr>
          <w:rFonts w:ascii="TitilliumText25L" w:hAnsi="TitilliumText25L" w:cs="Calibri"/>
          <w:iCs/>
          <w:noProof/>
          <w:sz w:val="22"/>
          <w:szCs w:val="22"/>
        </w:rPr>
        <w:t>Principles of Transfusion Medicine, Second edition</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1</w:t>
      </w:r>
      <w:r w:rsidRPr="00C169DB">
        <w:rPr>
          <w:rFonts w:ascii="TitilliumText25L" w:hAnsi="TitilliumText25L" w:cs="Calibri"/>
          <w:noProof/>
          <w:sz w:val="22"/>
          <w:szCs w:val="22"/>
        </w:rPr>
        <w:t>, (1996).</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6.</w:t>
      </w:r>
      <w:r w:rsidRPr="00C169DB">
        <w:rPr>
          <w:rFonts w:ascii="TitilliumText25L" w:hAnsi="TitilliumText25L" w:cs="Calibri"/>
          <w:noProof/>
          <w:sz w:val="22"/>
          <w:szCs w:val="22"/>
        </w:rPr>
        <w:tab/>
        <w:t xml:space="preserve">Shander, A. A new perspective on best transfusion practices. </w:t>
      </w:r>
      <w:r w:rsidRPr="00C169DB">
        <w:rPr>
          <w:rFonts w:ascii="TitilliumText25L" w:hAnsi="TitilliumText25L" w:cs="Calibri"/>
          <w:iCs/>
          <w:noProof/>
          <w:sz w:val="22"/>
          <w:szCs w:val="22"/>
        </w:rPr>
        <w:t>Review Blood Transfus</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1</w:t>
      </w:r>
      <w:r w:rsidRPr="00C169DB">
        <w:rPr>
          <w:rFonts w:ascii="TitilliumText25L" w:hAnsi="TitilliumText25L" w:cs="Calibri"/>
          <w:noProof/>
          <w:sz w:val="22"/>
          <w:szCs w:val="22"/>
        </w:rPr>
        <w:t>, (2012).</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7.</w:t>
      </w:r>
      <w:r w:rsidRPr="00C169DB">
        <w:rPr>
          <w:rFonts w:ascii="TitilliumText25L" w:hAnsi="TitilliumText25L" w:cs="Calibri"/>
          <w:noProof/>
          <w:sz w:val="22"/>
          <w:szCs w:val="22"/>
        </w:rPr>
        <w:tab/>
        <w:t xml:space="preserve">National Blood Authority </w:t>
      </w:r>
      <w:r w:rsidRPr="00C169DB">
        <w:rPr>
          <w:rFonts w:ascii="TitilliumText25L" w:hAnsi="TitilliumText25L" w:cs="Calibri"/>
          <w:iCs/>
          <w:noProof/>
          <w:sz w:val="22"/>
          <w:szCs w:val="22"/>
        </w:rPr>
        <w:t>Patient blood management guidelines: Module 2 – Perioperative.</w:t>
      </w:r>
      <w:r w:rsidRPr="00C169DB">
        <w:rPr>
          <w:rFonts w:ascii="TitilliumText25L" w:hAnsi="TitilliumText25L" w:cs="Calibri"/>
          <w:noProof/>
          <w:sz w:val="22"/>
          <w:szCs w:val="22"/>
        </w:rPr>
        <w:t xml:space="preserve"> (Canberra, Australia, 2012).at &lt;</w:t>
      </w:r>
      <w:hyperlink r:id="rId64" w:history="1">
        <w:r w:rsidRPr="00C169DB">
          <w:rPr>
            <w:rStyle w:val="Hyperlink"/>
            <w:rFonts w:ascii="TitilliumText25L" w:hAnsi="TitilliumText25L" w:cs="Calibri"/>
            <w:noProof/>
            <w:sz w:val="22"/>
            <w:szCs w:val="22"/>
          </w:rPr>
          <w:t>http://www.blood.gov.au/pbm-guidelines</w:t>
        </w:r>
      </w:hyperlink>
      <w:r w:rsidRPr="00C169DB">
        <w:rPr>
          <w:rFonts w:ascii="TitilliumText25L" w:hAnsi="TitilliumText25L" w:cs="Calibri"/>
          <w:noProof/>
          <w:sz w:val="22"/>
          <w:szCs w:val="22"/>
        </w:rPr>
        <w:t xml:space="preserve"> &gt;</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8.</w:t>
      </w:r>
      <w:r w:rsidRPr="00C169DB">
        <w:rPr>
          <w:rFonts w:ascii="TitilliumText25L" w:hAnsi="TitilliumText25L" w:cs="Calibri"/>
          <w:noProof/>
          <w:sz w:val="22"/>
          <w:szCs w:val="22"/>
        </w:rPr>
        <w:tab/>
        <w:t xml:space="preserve">Australian Commission on Safety and Quality in Healthcare </w:t>
      </w:r>
      <w:r w:rsidRPr="00C169DB">
        <w:rPr>
          <w:rFonts w:ascii="TitilliumText25L" w:hAnsi="TitilliumText25L" w:cs="Calibri"/>
          <w:iCs/>
          <w:noProof/>
          <w:sz w:val="22"/>
          <w:szCs w:val="22"/>
        </w:rPr>
        <w:t>Safety and Quality Improvement Guide Standard 7: Blood and Blood Products</w:t>
      </w:r>
      <w:r w:rsidRPr="00C169DB">
        <w:rPr>
          <w:rFonts w:ascii="TitilliumText25L" w:hAnsi="TitilliumText25L" w:cs="Calibri"/>
          <w:noProof/>
          <w:sz w:val="22"/>
          <w:szCs w:val="22"/>
        </w:rPr>
        <w:t xml:space="preserve">. </w:t>
      </w:r>
      <w:r w:rsidRPr="00C169DB">
        <w:rPr>
          <w:rFonts w:ascii="TitilliumText25L" w:hAnsi="TitilliumText25L" w:cs="Calibri"/>
          <w:iCs/>
          <w:noProof/>
          <w:sz w:val="22"/>
          <w:szCs w:val="22"/>
        </w:rPr>
        <w:t>ACSQHC</w:t>
      </w:r>
      <w:r w:rsidRPr="00C169DB">
        <w:rPr>
          <w:rFonts w:ascii="TitilliumText25L" w:hAnsi="TitilliumText25L" w:cs="Calibri"/>
          <w:noProof/>
          <w:sz w:val="22"/>
          <w:szCs w:val="22"/>
        </w:rPr>
        <w:t xml:space="preserve"> (2012).at &lt;</w:t>
      </w:r>
      <w:hyperlink r:id="rId65" w:history="1">
        <w:r w:rsidRPr="00C169DB">
          <w:rPr>
            <w:rStyle w:val="Hyperlink"/>
            <w:rFonts w:ascii="TitilliumText25L" w:hAnsi="TitilliumText25L" w:cs="Calibri"/>
            <w:noProof/>
            <w:sz w:val="22"/>
            <w:szCs w:val="22"/>
          </w:rPr>
          <w:t>http://www.safetyandquality.gov.au/wp-content/uploads/2012/10/Standard7_Oct_2012_WEB.pdf</w:t>
        </w:r>
      </w:hyperlink>
      <w:r w:rsidRPr="00C169DB">
        <w:rPr>
          <w:rFonts w:ascii="TitilliumText25L" w:hAnsi="TitilliumText25L" w:cs="Calibri"/>
          <w:noProof/>
          <w:sz w:val="22"/>
          <w:szCs w:val="22"/>
        </w:rPr>
        <w:t>&gt;</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9.</w:t>
      </w:r>
      <w:r w:rsidRPr="00C169DB">
        <w:rPr>
          <w:rFonts w:ascii="TitilliumText25L" w:hAnsi="TitilliumText25L" w:cs="Calibri"/>
          <w:noProof/>
          <w:sz w:val="22"/>
          <w:szCs w:val="22"/>
        </w:rPr>
        <w:tab/>
        <w:t>Koch CG</w:t>
      </w:r>
      <w:r w:rsidRPr="00C169DB">
        <w:rPr>
          <w:rFonts w:ascii="Courier New" w:hAnsi="Courier New" w:cs="Courier New"/>
          <w:noProof/>
          <w:sz w:val="22"/>
          <w:szCs w:val="22"/>
        </w:rPr>
        <w:t> </w:t>
      </w:r>
      <w:r w:rsidRPr="00C169DB">
        <w:rPr>
          <w:rFonts w:ascii="TitilliumText25L" w:hAnsi="TitilliumText25L" w:cs="Calibri"/>
          <w:noProof/>
          <w:sz w:val="22"/>
          <w:szCs w:val="22"/>
        </w:rPr>
        <w:t xml:space="preserve"> Duncan AI et al, L. L. Morbidity and mortality risk associated with red blood cell and blood-component transfusion in isolated coronary artery bypass grafting. </w:t>
      </w:r>
      <w:r w:rsidRPr="00C169DB">
        <w:rPr>
          <w:rFonts w:ascii="TitilliumText25L" w:hAnsi="TitilliumText25L" w:cs="Calibri"/>
          <w:iCs/>
          <w:noProof/>
          <w:sz w:val="22"/>
          <w:szCs w:val="22"/>
        </w:rPr>
        <w:t>Crit Care Med 2006</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34</w:t>
      </w:r>
      <w:r w:rsidRPr="00C169DB">
        <w:rPr>
          <w:rFonts w:ascii="TitilliumText25L" w:hAnsi="TitilliumText25L" w:cs="Calibri"/>
          <w:noProof/>
          <w:sz w:val="22"/>
          <w:szCs w:val="22"/>
        </w:rPr>
        <w:t>, 1608–1616 (2006).</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10.</w:t>
      </w:r>
      <w:r w:rsidRPr="00C169DB">
        <w:rPr>
          <w:rFonts w:ascii="TitilliumText25L" w:hAnsi="TitilliumText25L" w:cs="Calibri"/>
          <w:noProof/>
          <w:sz w:val="22"/>
          <w:szCs w:val="22"/>
        </w:rPr>
        <w:tab/>
        <w:t xml:space="preserve">Hajjar LA Vincent JL et al. Transfusion requirements after cardiac surgery: the TRACS randomised controlled trial. </w:t>
      </w:r>
      <w:r w:rsidRPr="00C169DB">
        <w:rPr>
          <w:rFonts w:ascii="TitilliumText25L" w:hAnsi="TitilliumText25L" w:cs="Calibri"/>
          <w:iCs/>
          <w:noProof/>
          <w:sz w:val="22"/>
          <w:szCs w:val="22"/>
        </w:rPr>
        <w:t>JAMA - Journal of the American Medical Association</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304</w:t>
      </w:r>
      <w:r w:rsidRPr="00C169DB">
        <w:rPr>
          <w:rFonts w:ascii="TitilliumText25L" w:hAnsi="TitilliumText25L" w:cs="Calibri"/>
          <w:noProof/>
          <w:sz w:val="22"/>
          <w:szCs w:val="22"/>
        </w:rPr>
        <w:t>, 304:1559–1567</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11.</w:t>
      </w:r>
      <w:r w:rsidRPr="00C169DB">
        <w:rPr>
          <w:rFonts w:ascii="TitilliumText25L" w:hAnsi="TitilliumText25L" w:cs="Calibri"/>
          <w:noProof/>
          <w:sz w:val="22"/>
          <w:szCs w:val="22"/>
        </w:rPr>
        <w:tab/>
        <w:t xml:space="preserve">Hofmann, A., Farmer, S. &amp; Shander, A. Five drivers shifting the paradigm from product-focused transfusion practice to patient blood management. </w:t>
      </w:r>
      <w:r w:rsidRPr="00C169DB">
        <w:rPr>
          <w:rFonts w:ascii="TitilliumText25L" w:hAnsi="TitilliumText25L" w:cs="Calibri"/>
          <w:iCs/>
          <w:noProof/>
          <w:sz w:val="22"/>
          <w:szCs w:val="22"/>
        </w:rPr>
        <w:t>The oncologist</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16 Suppl 3</w:t>
      </w:r>
      <w:r w:rsidRPr="00C169DB">
        <w:rPr>
          <w:rFonts w:ascii="TitilliumText25L" w:hAnsi="TitilliumText25L" w:cs="Calibri"/>
          <w:noProof/>
          <w:sz w:val="22"/>
          <w:szCs w:val="22"/>
        </w:rPr>
        <w:t>, 3–11 (2011).</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12.</w:t>
      </w:r>
      <w:r w:rsidRPr="00C169DB">
        <w:rPr>
          <w:rFonts w:ascii="TitilliumText25L" w:hAnsi="TitilliumText25L" w:cs="Calibri"/>
          <w:noProof/>
          <w:sz w:val="22"/>
          <w:szCs w:val="22"/>
        </w:rPr>
        <w:tab/>
        <w:t xml:space="preserve">Hofmann, A., Farmer, S. &amp; Towler, S. C. Strategies to preempt and reduce the use of blood products: an Australian perspective. </w:t>
      </w:r>
      <w:r w:rsidRPr="00C169DB">
        <w:rPr>
          <w:rFonts w:ascii="TitilliumText25L" w:hAnsi="TitilliumText25L" w:cs="Calibri"/>
          <w:iCs/>
          <w:noProof/>
          <w:sz w:val="22"/>
          <w:szCs w:val="22"/>
        </w:rPr>
        <w:t>Current opinion in anaesthesiology</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25</w:t>
      </w:r>
      <w:r w:rsidRPr="00C169DB">
        <w:rPr>
          <w:rFonts w:ascii="TitilliumText25L" w:hAnsi="TitilliumText25L" w:cs="Calibri"/>
          <w:noProof/>
          <w:sz w:val="22"/>
          <w:szCs w:val="22"/>
        </w:rPr>
        <w:t>, 66–73 (2012).</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13.</w:t>
      </w:r>
      <w:r w:rsidRPr="00C169DB">
        <w:rPr>
          <w:rFonts w:ascii="TitilliumText25L" w:hAnsi="TitilliumText25L" w:cs="Calibri"/>
          <w:noProof/>
          <w:sz w:val="22"/>
          <w:szCs w:val="22"/>
        </w:rPr>
        <w:tab/>
        <w:t xml:space="preserve">Ma, M., Eckert, K., Ralley, F. &amp; Chin-Yee, I. A retrospective study evaluating single-unit red blood cell transfusions in reducing allogeneic blood exposure. </w:t>
      </w:r>
      <w:r w:rsidRPr="00C169DB">
        <w:rPr>
          <w:rFonts w:ascii="TitilliumText25L" w:hAnsi="TitilliumText25L" w:cs="Calibri"/>
          <w:iCs/>
          <w:noProof/>
          <w:sz w:val="22"/>
          <w:szCs w:val="22"/>
        </w:rPr>
        <w:t>Transfusion Medicine</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15</w:t>
      </w:r>
      <w:r w:rsidRPr="00C169DB">
        <w:rPr>
          <w:rFonts w:ascii="TitilliumText25L" w:hAnsi="TitilliumText25L" w:cs="Calibri"/>
          <w:noProof/>
          <w:sz w:val="22"/>
          <w:szCs w:val="22"/>
        </w:rPr>
        <w:t>, 307–312 (2005).</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14.</w:t>
      </w:r>
      <w:r w:rsidRPr="00C169DB">
        <w:rPr>
          <w:rFonts w:ascii="TitilliumText25L" w:hAnsi="TitilliumText25L" w:cs="Calibri"/>
          <w:noProof/>
          <w:sz w:val="22"/>
          <w:szCs w:val="22"/>
        </w:rPr>
        <w:tab/>
        <w:t xml:space="preserve">Berger, M. D. </w:t>
      </w:r>
      <w:r w:rsidRPr="00C169DB">
        <w:rPr>
          <w:rFonts w:ascii="TitilliumText25L" w:hAnsi="TitilliumText25L" w:cs="Calibri"/>
          <w:iCs/>
          <w:noProof/>
          <w:sz w:val="22"/>
          <w:szCs w:val="22"/>
        </w:rPr>
        <w:t>et al.</w:t>
      </w:r>
      <w:r w:rsidRPr="00C169DB">
        <w:rPr>
          <w:rFonts w:ascii="TitilliumText25L" w:hAnsi="TitilliumText25L" w:cs="Calibri"/>
          <w:noProof/>
          <w:sz w:val="22"/>
          <w:szCs w:val="22"/>
        </w:rPr>
        <w:t xml:space="preserve"> Significant reduction of red blood cell transfusion requirements by changing from a double-unit to a single-unit transfusion policy in patients receiving intensive chemotherapy or stem cell transplantation. </w:t>
      </w:r>
      <w:r w:rsidRPr="00C169DB">
        <w:rPr>
          <w:rFonts w:ascii="TitilliumText25L" w:hAnsi="TitilliumText25L" w:cs="Calibri"/>
          <w:iCs/>
          <w:noProof/>
          <w:sz w:val="22"/>
          <w:szCs w:val="22"/>
        </w:rPr>
        <w:t>haematologica</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97</w:t>
      </w:r>
      <w:r w:rsidRPr="00C169DB">
        <w:rPr>
          <w:rFonts w:ascii="TitilliumText25L" w:hAnsi="TitilliumText25L" w:cs="Calibri"/>
          <w:noProof/>
          <w:sz w:val="22"/>
          <w:szCs w:val="22"/>
        </w:rPr>
        <w:t>, 116–122 (2012).</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15.</w:t>
      </w:r>
      <w:r w:rsidRPr="00C169DB">
        <w:rPr>
          <w:rFonts w:ascii="TitilliumText25L" w:hAnsi="TitilliumText25L" w:cs="Calibri"/>
          <w:noProof/>
          <w:sz w:val="22"/>
          <w:szCs w:val="22"/>
        </w:rPr>
        <w:tab/>
        <w:t>The British Committee for Standards in Haematology Guidelines on the Administration of Blood Components. Addendum to Administration of Blood Components, August 2012. 1–4 (2012).at &lt;</w:t>
      </w:r>
      <w:hyperlink r:id="rId66" w:history="1">
        <w:r w:rsidRPr="00C169DB">
          <w:rPr>
            <w:rStyle w:val="Hyperlink"/>
            <w:rFonts w:ascii="TitilliumText25L" w:hAnsi="TitilliumText25L" w:cs="Calibri"/>
            <w:noProof/>
            <w:sz w:val="22"/>
            <w:szCs w:val="22"/>
          </w:rPr>
          <w:t>http://www.bcshguidelines.com/documents/BCSH_Blood_Admin_-_addendum_August_2012.pdf</w:t>
        </w:r>
      </w:hyperlink>
      <w:r w:rsidRPr="00C169DB">
        <w:rPr>
          <w:rFonts w:ascii="TitilliumText25L" w:hAnsi="TitilliumText25L" w:cs="Calibri"/>
          <w:noProof/>
          <w:sz w:val="22"/>
          <w:szCs w:val="22"/>
        </w:rPr>
        <w:t xml:space="preserve"> &gt;</w:t>
      </w:r>
    </w:p>
    <w:p w:rsidR="00D34CAB" w:rsidRPr="00C169DB" w:rsidRDefault="00D34CAB" w:rsidP="00D34CAB">
      <w:pPr>
        <w:pStyle w:val="NormalWeb"/>
        <w:ind w:left="640" w:hanging="640"/>
        <w:rPr>
          <w:rFonts w:ascii="TitilliumText25L" w:hAnsi="TitilliumText25L" w:cs="Calibri"/>
          <w:noProof/>
          <w:sz w:val="22"/>
          <w:szCs w:val="22"/>
        </w:rPr>
      </w:pPr>
      <w:r w:rsidRPr="00C169DB">
        <w:rPr>
          <w:rFonts w:ascii="TitilliumText25L" w:hAnsi="TitilliumText25L" w:cs="Calibri"/>
          <w:noProof/>
          <w:sz w:val="22"/>
          <w:szCs w:val="22"/>
        </w:rPr>
        <w:t>16.</w:t>
      </w:r>
      <w:r w:rsidRPr="00C169DB">
        <w:rPr>
          <w:rFonts w:ascii="TitilliumText25L" w:hAnsi="TitilliumText25L" w:cs="Calibri"/>
          <w:noProof/>
          <w:sz w:val="22"/>
          <w:szCs w:val="22"/>
        </w:rPr>
        <w:tab/>
        <w:t xml:space="preserve">Carson, J. L., Carless, P. a &amp; Hebert, P. C. Transfusion thresholds and other strategies for guiding allogeneic red blood cell transfusion. </w:t>
      </w:r>
      <w:r w:rsidRPr="00C169DB">
        <w:rPr>
          <w:rFonts w:ascii="TitilliumText25L" w:hAnsi="TitilliumText25L" w:cs="Calibri"/>
          <w:iCs/>
          <w:noProof/>
          <w:sz w:val="22"/>
          <w:szCs w:val="22"/>
        </w:rPr>
        <w:t>The Cochrane database of systematic reviews</w:t>
      </w:r>
      <w:r w:rsidRPr="00C169DB">
        <w:rPr>
          <w:rFonts w:ascii="TitilliumText25L" w:hAnsi="TitilliumText25L" w:cs="Calibri"/>
          <w:noProof/>
          <w:sz w:val="22"/>
          <w:szCs w:val="22"/>
        </w:rPr>
        <w:t xml:space="preserve"> </w:t>
      </w:r>
      <w:r w:rsidRPr="00C169DB">
        <w:rPr>
          <w:rFonts w:ascii="TitilliumText25L" w:hAnsi="TitilliumText25L" w:cs="Calibri"/>
          <w:b/>
          <w:bCs/>
          <w:noProof/>
          <w:sz w:val="22"/>
          <w:szCs w:val="22"/>
        </w:rPr>
        <w:t>4</w:t>
      </w:r>
      <w:r w:rsidRPr="00C169DB">
        <w:rPr>
          <w:rFonts w:ascii="TitilliumText25L" w:hAnsi="TitilliumText25L" w:cs="Calibri"/>
          <w:noProof/>
          <w:sz w:val="22"/>
          <w:szCs w:val="22"/>
        </w:rPr>
        <w:t xml:space="preserve">, CD002042 (2012). </w:t>
      </w:r>
    </w:p>
    <w:p w:rsidR="008324D5" w:rsidRPr="00C169DB" w:rsidRDefault="00D34CAB" w:rsidP="00D34CAB">
      <w:pPr>
        <w:pStyle w:val="NormalWeb"/>
        <w:spacing w:before="0" w:beforeAutospacing="0" w:after="120" w:afterAutospacing="0"/>
        <w:ind w:left="641" w:hanging="641"/>
        <w:rPr>
          <w:rFonts w:ascii="TitilliumText25L" w:hAnsi="TitilliumText25L"/>
          <w:lang w:val="en-GB"/>
        </w:rPr>
      </w:pPr>
      <w:r w:rsidRPr="00C169DB">
        <w:rPr>
          <w:rFonts w:ascii="TitilliumText25L" w:hAnsi="TitilliumText25L" w:cstheme="minorHAnsi"/>
          <w:sz w:val="22"/>
          <w:szCs w:val="22"/>
        </w:rPr>
        <w:fldChar w:fldCharType="end"/>
      </w:r>
    </w:p>
    <w:p w:rsidR="008324D5" w:rsidRPr="00C169DB" w:rsidRDefault="008324D5">
      <w:pPr>
        <w:rPr>
          <w:rFonts w:ascii="TitilliumText25L" w:hAnsi="TitilliumText25L"/>
          <w:lang w:val="en-GB"/>
        </w:rPr>
        <w:sectPr w:rsidR="008324D5" w:rsidRPr="00C169DB" w:rsidSect="00CF6EDC">
          <w:footnotePr>
            <w:numFmt w:val="lowerLetter"/>
          </w:footnotePr>
          <w:pgSz w:w="11906" w:h="16838"/>
          <w:pgMar w:top="1560" w:right="1133" w:bottom="993" w:left="1440" w:header="708" w:footer="833" w:gutter="0"/>
          <w:cols w:space="708"/>
          <w:docGrid w:linePitch="360"/>
        </w:sectPr>
      </w:pPr>
    </w:p>
    <w:p w:rsidR="008D34C2" w:rsidRPr="00C169DB" w:rsidRDefault="00E15C6A" w:rsidP="00654684">
      <w:pPr>
        <w:pStyle w:val="NormalWeb"/>
        <w:ind w:left="640" w:hanging="640"/>
        <w:divId w:val="1100639194"/>
        <w:rPr>
          <w:rFonts w:ascii="TitilliumText25L" w:eastAsiaTheme="minorHAnsi" w:hAnsi="TitilliumText25L" w:cstheme="minorBidi"/>
          <w:lang w:val="en-GB"/>
        </w:rPr>
      </w:pPr>
      <w:r w:rsidRPr="00C169DB">
        <w:rPr>
          <w:rFonts w:ascii="TitilliumText25L" w:eastAsiaTheme="minorHAnsi" w:hAnsi="TitilliumText25L" w:cstheme="minorBidi"/>
          <w:noProof/>
        </w:rPr>
        <w:drawing>
          <wp:anchor distT="0" distB="0" distL="114300" distR="114300" simplePos="0" relativeHeight="251673600" behindDoc="1" locked="0" layoutInCell="1" allowOverlap="1" wp14:anchorId="5CA13B6A" wp14:editId="30712F65">
            <wp:simplePos x="0" y="0"/>
            <wp:positionH relativeFrom="column">
              <wp:posOffset>-914400</wp:posOffset>
            </wp:positionH>
            <wp:positionV relativeFrom="paragraph">
              <wp:posOffset>-622300</wp:posOffset>
            </wp:positionV>
            <wp:extent cx="7559675" cy="10678795"/>
            <wp:effectExtent l="0" t="0" r="3175" b="8255"/>
            <wp:wrapThrough wrapText="bothSides">
              <wp:wrapPolygon edited="0">
                <wp:start x="0" y="0"/>
                <wp:lineTo x="0" y="21578"/>
                <wp:lineTo x="21555" y="21578"/>
                <wp:lineTo x="2155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ckcover.jpg"/>
                    <pic:cNvPicPr/>
                  </pic:nvPicPr>
                  <pic:blipFill>
                    <a:blip r:embed="rId67">
                      <a:extLst>
                        <a:ext uri="{28A0092B-C50C-407E-A947-70E740481C1C}">
                          <a14:useLocalDpi xmlns:a14="http://schemas.microsoft.com/office/drawing/2010/main" val="0"/>
                        </a:ext>
                      </a:extLst>
                    </a:blip>
                    <a:stretch>
                      <a:fillRect/>
                    </a:stretch>
                  </pic:blipFill>
                  <pic:spPr>
                    <a:xfrm>
                      <a:off x="0" y="0"/>
                      <a:ext cx="7559675" cy="10678795"/>
                    </a:xfrm>
                    <a:prstGeom prst="rect">
                      <a:avLst/>
                    </a:prstGeom>
                  </pic:spPr>
                </pic:pic>
              </a:graphicData>
            </a:graphic>
            <wp14:sizeRelH relativeFrom="page">
              <wp14:pctWidth>0</wp14:pctWidth>
            </wp14:sizeRelH>
            <wp14:sizeRelV relativeFrom="page">
              <wp14:pctHeight>0</wp14:pctHeight>
            </wp14:sizeRelV>
          </wp:anchor>
        </w:drawing>
      </w:r>
    </w:p>
    <w:sectPr w:rsidR="008D34C2" w:rsidRPr="00C169DB" w:rsidSect="00255EBA">
      <w:footnotePr>
        <w:numFmt w:val="lowerLetter"/>
      </w:footnotePr>
      <w:pgSz w:w="11906" w:h="16838"/>
      <w:pgMar w:top="993" w:right="1133" w:bottom="993" w:left="1440" w:header="708" w:footer="8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FE6" w:rsidRDefault="009B2FE6" w:rsidP="00804DBB">
      <w:pPr>
        <w:spacing w:after="0"/>
      </w:pPr>
      <w:r>
        <w:separator/>
      </w:r>
    </w:p>
  </w:endnote>
  <w:endnote w:type="continuationSeparator" w:id="0">
    <w:p w:rsidR="009B2FE6" w:rsidRDefault="009B2FE6" w:rsidP="00804D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 w:name="TitilliumText22L Lt">
    <w:panose1 w:val="00000000000000000000"/>
    <w:charset w:val="00"/>
    <w:family w:val="modern"/>
    <w:notTrueType/>
    <w:pitch w:val="variable"/>
    <w:sig w:usb0="A00000EF"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87140"/>
      <w:docPartObj>
        <w:docPartGallery w:val="Page Numbers (Bottom of Page)"/>
        <w:docPartUnique/>
      </w:docPartObj>
    </w:sdtPr>
    <w:sdtEndPr>
      <w:rPr>
        <w:noProof/>
      </w:rPr>
    </w:sdtEndPr>
    <w:sdtContent>
      <w:p w:rsidR="004A109C" w:rsidRDefault="004A109C" w:rsidP="007D3B16">
        <w:pPr>
          <w:pStyle w:val="Footer"/>
        </w:pPr>
        <w:r>
          <w:t>Single Unit Transfusion Guide</w:t>
        </w:r>
        <w:r>
          <w:tab/>
          <w:t>June 2014</w:t>
        </w:r>
        <w:r>
          <w:tab/>
          <w:t xml:space="preserve">Page </w:t>
        </w:r>
        <w:r>
          <w:fldChar w:fldCharType="begin"/>
        </w:r>
        <w:r>
          <w:instrText xml:space="preserve"> PAGE   \* MERGEFORMAT </w:instrText>
        </w:r>
        <w:r>
          <w:fldChar w:fldCharType="separate"/>
        </w:r>
        <w:r w:rsidR="003221EA">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34135"/>
      <w:docPartObj>
        <w:docPartGallery w:val="Page Numbers (Bottom of Page)"/>
        <w:docPartUnique/>
      </w:docPartObj>
    </w:sdtPr>
    <w:sdtEndPr>
      <w:rPr>
        <w:noProof/>
      </w:rPr>
    </w:sdtEndPr>
    <w:sdtContent>
      <w:p w:rsidR="00A063F4" w:rsidRDefault="00A063F4" w:rsidP="007D3B16">
        <w:pPr>
          <w:pStyle w:val="Footer"/>
        </w:pPr>
      </w:p>
      <w:p w:rsidR="00A063F4" w:rsidRDefault="00A063F4" w:rsidP="007D3B16">
        <w:pPr>
          <w:pStyle w:val="Footer"/>
        </w:pPr>
        <w:r>
          <w:t>Single Unit Transfusion Guide</w:t>
        </w:r>
        <w:r>
          <w:tab/>
          <w:t>June 2014</w:t>
        </w:r>
        <w:r>
          <w:tab/>
          <w:t xml:space="preserve">Page </w:t>
        </w:r>
        <w:r>
          <w:fldChar w:fldCharType="begin"/>
        </w:r>
        <w:r>
          <w:instrText xml:space="preserve"> PAGE   \* MERGEFORMAT </w:instrText>
        </w:r>
        <w:r>
          <w:fldChar w:fldCharType="separate"/>
        </w:r>
        <w:r w:rsidR="003221EA">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F4" w:rsidRDefault="00A063F4" w:rsidP="008D5FB0">
    <w:pPr>
      <w:pStyle w:val="Footer"/>
      <w:tabs>
        <w:tab w:val="center" w:pos="5387"/>
      </w:tabs>
      <w:rPr>
        <w:rFonts w:ascii="Arial" w:hAnsi="Arial" w:cs="Arial"/>
        <w:sz w:val="20"/>
        <w:szCs w:val="20"/>
      </w:rPr>
    </w:pPr>
  </w:p>
  <w:p w:rsidR="00A063F4" w:rsidRPr="005366EB" w:rsidRDefault="00A063F4" w:rsidP="008D5FB0">
    <w:pPr>
      <w:pStyle w:val="Footer"/>
      <w:tabs>
        <w:tab w:val="center" w:pos="5387"/>
      </w:tabs>
      <w:rPr>
        <w:rFonts w:ascii="Arial" w:hAnsi="Arial" w:cs="Arial"/>
        <w:sz w:val="20"/>
        <w:szCs w:val="20"/>
      </w:rPr>
    </w:pPr>
    <w:r>
      <w:rPr>
        <w:rFonts w:ascii="Arial" w:hAnsi="Arial" w:cs="Arial"/>
        <w:sz w:val="20"/>
        <w:szCs w:val="20"/>
      </w:rPr>
      <w:t>Single Unit Transfusion Guide</w:t>
    </w:r>
    <w:r w:rsidRPr="005366EB">
      <w:rPr>
        <w:rFonts w:ascii="Arial" w:hAnsi="Arial" w:cs="Arial"/>
        <w:sz w:val="20"/>
        <w:szCs w:val="20"/>
      </w:rPr>
      <w:t xml:space="preserve"> </w:t>
    </w:r>
    <w:r w:rsidRPr="005366EB">
      <w:rPr>
        <w:rFonts w:ascii="Arial" w:hAnsi="Arial" w:cs="Arial"/>
        <w:sz w:val="20"/>
        <w:szCs w:val="20"/>
      </w:rPr>
      <w:tab/>
    </w:r>
    <w:r>
      <w:rPr>
        <w:rFonts w:ascii="Arial" w:hAnsi="Arial" w:cs="Arial"/>
        <w:sz w:val="20"/>
        <w:szCs w:val="20"/>
      </w:rPr>
      <w:t>June 2014</w:t>
    </w:r>
    <w:r>
      <w:rPr>
        <w:rFonts w:ascii="Arial" w:hAnsi="Arial" w:cs="Arial"/>
        <w:sz w:val="20"/>
        <w:szCs w:val="20"/>
      </w:rPr>
      <w:tab/>
    </w:r>
    <w:r>
      <w:rPr>
        <w:rFonts w:ascii="Arial" w:hAnsi="Arial" w:cs="Arial"/>
        <w:sz w:val="20"/>
        <w:szCs w:val="20"/>
      </w:rPr>
      <w:tab/>
    </w:r>
    <w:r w:rsidRPr="005366EB">
      <w:rPr>
        <w:rFonts w:ascii="Arial" w:hAnsi="Arial" w:cs="Arial"/>
        <w:sz w:val="20"/>
        <w:szCs w:val="20"/>
      </w:rPr>
      <w:t xml:space="preserve">Page </w:t>
    </w:r>
    <w:r w:rsidRPr="005366EB">
      <w:rPr>
        <w:rStyle w:val="PageNumber"/>
        <w:rFonts w:ascii="Arial" w:hAnsi="Arial" w:cs="Arial"/>
        <w:sz w:val="20"/>
        <w:szCs w:val="20"/>
      </w:rPr>
      <w:fldChar w:fldCharType="begin"/>
    </w:r>
    <w:r w:rsidRPr="005366EB">
      <w:rPr>
        <w:rStyle w:val="PageNumber"/>
        <w:rFonts w:ascii="Arial" w:hAnsi="Arial" w:cs="Arial"/>
        <w:sz w:val="20"/>
        <w:szCs w:val="20"/>
      </w:rPr>
      <w:instrText xml:space="preserve"> PAGE </w:instrText>
    </w:r>
    <w:r w:rsidRPr="005366EB">
      <w:rPr>
        <w:rStyle w:val="PageNumber"/>
        <w:rFonts w:ascii="Arial" w:hAnsi="Arial" w:cs="Arial"/>
        <w:sz w:val="20"/>
        <w:szCs w:val="20"/>
      </w:rPr>
      <w:fldChar w:fldCharType="separate"/>
    </w:r>
    <w:r w:rsidR="003221EA">
      <w:rPr>
        <w:rStyle w:val="PageNumber"/>
        <w:rFonts w:ascii="Arial" w:hAnsi="Arial" w:cs="Arial"/>
        <w:noProof/>
        <w:sz w:val="20"/>
        <w:szCs w:val="20"/>
      </w:rPr>
      <w:t>36</w:t>
    </w:r>
    <w:r w:rsidRPr="005366EB">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FE6" w:rsidRDefault="009B2FE6" w:rsidP="00804DBB">
      <w:pPr>
        <w:spacing w:after="0"/>
      </w:pPr>
      <w:r>
        <w:separator/>
      </w:r>
    </w:p>
  </w:footnote>
  <w:footnote w:type="continuationSeparator" w:id="0">
    <w:p w:rsidR="009B2FE6" w:rsidRDefault="009B2FE6" w:rsidP="00804DBB">
      <w:pPr>
        <w:spacing w:after="0"/>
      </w:pPr>
      <w:r>
        <w:continuationSeparator/>
      </w:r>
    </w:p>
  </w:footnote>
  <w:footnote w:id="1">
    <w:p w:rsidR="00A063F4" w:rsidRPr="00267666" w:rsidRDefault="00A063F4" w:rsidP="009325F7">
      <w:pPr>
        <w:pStyle w:val="FootnoteText"/>
        <w:rPr>
          <w:sz w:val="18"/>
        </w:rPr>
      </w:pPr>
      <w:r>
        <w:rPr>
          <w:rStyle w:val="FootnoteReference"/>
        </w:rPr>
        <w:footnoteRef/>
      </w:r>
      <w:r>
        <w:t xml:space="preserve"> </w:t>
      </w:r>
      <w:r w:rsidRPr="00267666">
        <w:rPr>
          <w:sz w:val="18"/>
        </w:rPr>
        <w:t xml:space="preserve">Webert et al </w:t>
      </w:r>
      <w:r w:rsidRPr="00267666">
        <w:rPr>
          <w:i/>
          <w:sz w:val="18"/>
        </w:rPr>
        <w:t>Table 2 Examples of bleeding signs or symptoms and their classification</w:t>
      </w:r>
      <w:r w:rsidRPr="00267666">
        <w:rPr>
          <w:sz w:val="18"/>
        </w:rPr>
        <w:t>. Grade 2: Clinically Significant Bleeding – Grade 2(a) serious bleeding, Grade 2(b) serious bleeding with significant morbidity, Grade 2(c) fatal bleeding.</w:t>
      </w:r>
    </w:p>
  </w:footnote>
  <w:footnote w:id="2">
    <w:p w:rsidR="00A063F4" w:rsidRDefault="00A063F4">
      <w:pPr>
        <w:pStyle w:val="FootnoteText"/>
      </w:pPr>
      <w:r w:rsidRPr="00267666">
        <w:rPr>
          <w:rStyle w:val="FootnoteReference"/>
          <w:sz w:val="18"/>
        </w:rPr>
        <w:footnoteRef/>
      </w:r>
      <w:r>
        <w:rPr>
          <w:b/>
          <w:sz w:val="18"/>
        </w:rPr>
        <w:t xml:space="preserve"> </w:t>
      </w:r>
      <w:r w:rsidRPr="00267666">
        <w:rPr>
          <w:b/>
          <w:sz w:val="18"/>
        </w:rPr>
        <w:t>Recommendations</w:t>
      </w:r>
      <w:r w:rsidRPr="00267666">
        <w:rPr>
          <w:sz w:val="18"/>
        </w:rPr>
        <w:t xml:space="preserve"> were developed by the Clinical/Consumer Reference Group (CRG) based on evidence from a systematic review. </w:t>
      </w:r>
      <w:r w:rsidRPr="00267666">
        <w:rPr>
          <w:b/>
          <w:sz w:val="18"/>
        </w:rPr>
        <w:t>Practice Points</w:t>
      </w:r>
      <w:r w:rsidRPr="00267666">
        <w:rPr>
          <w:sz w:val="18"/>
        </w:rPr>
        <w:t xml:space="preserve"> were developed through CRG consensus decision making. </w:t>
      </w:r>
    </w:p>
  </w:footnote>
  <w:footnote w:id="3">
    <w:p w:rsidR="00A063F4" w:rsidRDefault="00A063F4" w:rsidP="00B608C7">
      <w:pPr>
        <w:pStyle w:val="FootnoteText"/>
      </w:pPr>
      <w:r>
        <w:rPr>
          <w:rStyle w:val="FootnoteReference"/>
        </w:rPr>
        <w:footnoteRef/>
      </w:r>
      <w:r>
        <w:t xml:space="preserve"> </w:t>
      </w:r>
      <w:r w:rsidRPr="0055422A">
        <w:rPr>
          <w:sz w:val="18"/>
        </w:rPr>
        <w:t xml:space="preserve">Webert et al </w:t>
      </w:r>
      <w:r w:rsidRPr="0055422A">
        <w:rPr>
          <w:i/>
          <w:sz w:val="18"/>
        </w:rPr>
        <w:t>Table 2 Examples of bleeding signs or symptoms and their classification</w:t>
      </w:r>
      <w:r w:rsidRPr="0055422A">
        <w:rPr>
          <w:sz w:val="18"/>
        </w:rPr>
        <w:t>. Grade 2: Clinically Significant Bleeding – Grade 2(a) serious bleeding, Grade 2(b) serious bleeding with significant morbidity, Grade 2(c) fatal bleeding.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F4" w:rsidRDefault="00A063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F4" w:rsidRPr="00BC0A0B" w:rsidRDefault="00A063F4" w:rsidP="00BC0A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F4" w:rsidRDefault="00A063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A63"/>
    <w:multiLevelType w:val="hybridMultilevel"/>
    <w:tmpl w:val="65ACFDEC"/>
    <w:lvl w:ilvl="0" w:tplc="6A2ED138">
      <w:start w:val="1"/>
      <w:numFmt w:val="lowerLetter"/>
      <w:lvlText w:val="%1."/>
      <w:lvlJc w:val="left"/>
      <w:pPr>
        <w:ind w:left="1080" w:hanging="360"/>
      </w:pPr>
      <w:rPr>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E2452E"/>
    <w:multiLevelType w:val="hybridMultilevel"/>
    <w:tmpl w:val="00645850"/>
    <w:lvl w:ilvl="0" w:tplc="FB2A2848">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88025A7"/>
    <w:multiLevelType w:val="hybridMultilevel"/>
    <w:tmpl w:val="7CB83BCA"/>
    <w:lvl w:ilvl="0" w:tplc="D8A498AE">
      <w:start w:val="1"/>
      <w:numFmt w:val="bullet"/>
      <w:lvlText w:val=""/>
      <w:lvlJc w:val="left"/>
      <w:pPr>
        <w:tabs>
          <w:tab w:val="num" w:pos="536"/>
        </w:tabs>
        <w:ind w:left="536" w:hanging="360"/>
      </w:pPr>
      <w:rPr>
        <w:rFonts w:ascii="Symbol" w:hAnsi="Symbol" w:hint="default"/>
        <w:color w:val="C60C3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D917BCC"/>
    <w:multiLevelType w:val="hybridMultilevel"/>
    <w:tmpl w:val="99C24D2E"/>
    <w:lvl w:ilvl="0" w:tplc="6A2ED138">
      <w:start w:val="1"/>
      <w:numFmt w:val="lowerLetter"/>
      <w:lvlText w:val="%1."/>
      <w:lvlJc w:val="left"/>
      <w:pPr>
        <w:ind w:left="-2160" w:hanging="360"/>
      </w:pPr>
      <w:rPr>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360" w:hanging="360"/>
      </w:pPr>
    </w:lvl>
    <w:lvl w:ilvl="5" w:tplc="0C09001B" w:tentative="1">
      <w:start w:val="1"/>
      <w:numFmt w:val="lowerRoman"/>
      <w:lvlText w:val="%6."/>
      <w:lvlJc w:val="right"/>
      <w:pPr>
        <w:ind w:left="1080" w:hanging="180"/>
      </w:pPr>
    </w:lvl>
    <w:lvl w:ilvl="6" w:tplc="0C09000F" w:tentative="1">
      <w:start w:val="1"/>
      <w:numFmt w:val="decimal"/>
      <w:lvlText w:val="%7."/>
      <w:lvlJc w:val="left"/>
      <w:pPr>
        <w:ind w:left="1800" w:hanging="360"/>
      </w:pPr>
    </w:lvl>
    <w:lvl w:ilvl="7" w:tplc="0C090019" w:tentative="1">
      <w:start w:val="1"/>
      <w:numFmt w:val="lowerLetter"/>
      <w:lvlText w:val="%8."/>
      <w:lvlJc w:val="left"/>
      <w:pPr>
        <w:ind w:left="2520" w:hanging="360"/>
      </w:pPr>
    </w:lvl>
    <w:lvl w:ilvl="8" w:tplc="0C09001B" w:tentative="1">
      <w:start w:val="1"/>
      <w:numFmt w:val="lowerRoman"/>
      <w:lvlText w:val="%9."/>
      <w:lvlJc w:val="right"/>
      <w:pPr>
        <w:ind w:left="3240" w:hanging="180"/>
      </w:pPr>
    </w:lvl>
  </w:abstractNum>
  <w:abstractNum w:abstractNumId="4">
    <w:nsid w:val="1DB85716"/>
    <w:multiLevelType w:val="hybridMultilevel"/>
    <w:tmpl w:val="81F4F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pStyle w:val="Heading9"/>
      <w:lvlText w:val=""/>
      <w:lvlJc w:val="left"/>
      <w:pPr>
        <w:ind w:left="6120" w:hanging="360"/>
      </w:pPr>
      <w:rPr>
        <w:rFonts w:ascii="Wingdings" w:hAnsi="Wingdings" w:hint="default"/>
      </w:rPr>
    </w:lvl>
  </w:abstractNum>
  <w:abstractNum w:abstractNumId="5">
    <w:nsid w:val="23912E23"/>
    <w:multiLevelType w:val="hybridMultilevel"/>
    <w:tmpl w:val="F4981FFA"/>
    <w:lvl w:ilvl="0" w:tplc="0CCC2DFE">
      <w:start w:val="1"/>
      <w:numFmt w:val="bullet"/>
      <w:lvlText w:val=""/>
      <w:lvlJc w:val="left"/>
      <w:pPr>
        <w:ind w:left="360" w:hanging="360"/>
      </w:pPr>
      <w:rPr>
        <w:rFonts w:ascii="Symbol" w:hAnsi="Symbo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62168EE"/>
    <w:multiLevelType w:val="hybridMultilevel"/>
    <w:tmpl w:val="92262534"/>
    <w:lvl w:ilvl="0" w:tplc="0C09000F">
      <w:start w:val="1"/>
      <w:numFmt w:val="decimal"/>
      <w:lvlText w:val="%1."/>
      <w:lvlJc w:val="left"/>
      <w:pPr>
        <w:ind w:left="0" w:hanging="360"/>
      </w:pPr>
    </w:lvl>
    <w:lvl w:ilvl="1" w:tplc="0C09000F">
      <w:start w:val="1"/>
      <w:numFmt w:val="decimal"/>
      <w:lvlText w:val="%2."/>
      <w:lvlJc w:val="left"/>
      <w:pPr>
        <w:tabs>
          <w:tab w:val="num" w:pos="360"/>
        </w:tabs>
        <w:ind w:left="360" w:hanging="360"/>
      </w:pPr>
    </w:lvl>
    <w:lvl w:ilvl="2" w:tplc="0C09001B">
      <w:start w:val="1"/>
      <w:numFmt w:val="decimal"/>
      <w:lvlText w:val="%3."/>
      <w:lvlJc w:val="left"/>
      <w:pPr>
        <w:tabs>
          <w:tab w:val="num" w:pos="1440"/>
        </w:tabs>
        <w:ind w:left="1440" w:hanging="360"/>
      </w:pPr>
    </w:lvl>
    <w:lvl w:ilvl="3" w:tplc="0C09000F">
      <w:start w:val="1"/>
      <w:numFmt w:val="decimal"/>
      <w:lvlText w:val="%4."/>
      <w:lvlJc w:val="left"/>
      <w:pPr>
        <w:tabs>
          <w:tab w:val="num" w:pos="2160"/>
        </w:tabs>
        <w:ind w:left="2160" w:hanging="360"/>
      </w:pPr>
    </w:lvl>
    <w:lvl w:ilvl="4" w:tplc="0C090019">
      <w:start w:val="1"/>
      <w:numFmt w:val="decimal"/>
      <w:lvlText w:val="%5."/>
      <w:lvlJc w:val="left"/>
      <w:pPr>
        <w:tabs>
          <w:tab w:val="num" w:pos="2880"/>
        </w:tabs>
        <w:ind w:left="2880" w:hanging="360"/>
      </w:pPr>
    </w:lvl>
    <w:lvl w:ilvl="5" w:tplc="0C09001B">
      <w:start w:val="1"/>
      <w:numFmt w:val="decimal"/>
      <w:lvlText w:val="%6."/>
      <w:lvlJc w:val="left"/>
      <w:pPr>
        <w:tabs>
          <w:tab w:val="num" w:pos="3600"/>
        </w:tabs>
        <w:ind w:left="3600" w:hanging="360"/>
      </w:pPr>
    </w:lvl>
    <w:lvl w:ilvl="6" w:tplc="0C09000F">
      <w:start w:val="1"/>
      <w:numFmt w:val="decimal"/>
      <w:lvlText w:val="%7."/>
      <w:lvlJc w:val="left"/>
      <w:pPr>
        <w:tabs>
          <w:tab w:val="num" w:pos="4320"/>
        </w:tabs>
        <w:ind w:left="4320" w:hanging="360"/>
      </w:pPr>
    </w:lvl>
    <w:lvl w:ilvl="7" w:tplc="0C090019">
      <w:start w:val="1"/>
      <w:numFmt w:val="decimal"/>
      <w:lvlText w:val="%8."/>
      <w:lvlJc w:val="left"/>
      <w:pPr>
        <w:tabs>
          <w:tab w:val="num" w:pos="5040"/>
        </w:tabs>
        <w:ind w:left="5040" w:hanging="360"/>
      </w:pPr>
    </w:lvl>
    <w:lvl w:ilvl="8" w:tplc="0C09001B">
      <w:start w:val="1"/>
      <w:numFmt w:val="decimal"/>
      <w:lvlText w:val="%9."/>
      <w:lvlJc w:val="left"/>
      <w:pPr>
        <w:tabs>
          <w:tab w:val="num" w:pos="5760"/>
        </w:tabs>
        <w:ind w:left="5760" w:hanging="360"/>
      </w:pPr>
    </w:lvl>
  </w:abstractNum>
  <w:abstractNum w:abstractNumId="7">
    <w:nsid w:val="2660611E"/>
    <w:multiLevelType w:val="hybridMultilevel"/>
    <w:tmpl w:val="F1641182"/>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BC27E75"/>
    <w:multiLevelType w:val="hybridMultilevel"/>
    <w:tmpl w:val="38E892BE"/>
    <w:lvl w:ilvl="0" w:tplc="2746FC1A">
      <w:start w:val="1"/>
      <w:numFmt w:val="bullet"/>
      <w:lvlText w:val=""/>
      <w:lvlJc w:val="left"/>
      <w:pPr>
        <w:ind w:left="1080" w:hanging="360"/>
      </w:pPr>
      <w:rPr>
        <w:rFonts w:ascii="Symbol" w:hAnsi="Symbol" w:hint="default"/>
        <w:color w:val="C60C3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13E20DE"/>
    <w:multiLevelType w:val="hybridMultilevel"/>
    <w:tmpl w:val="69A2F8FA"/>
    <w:lvl w:ilvl="0" w:tplc="0C09000F">
      <w:start w:val="1"/>
      <w:numFmt w:val="decimal"/>
      <w:lvlText w:val="%1."/>
      <w:lvlJc w:val="left"/>
      <w:pPr>
        <w:ind w:left="0" w:hanging="360"/>
      </w:pPr>
    </w:lvl>
    <w:lvl w:ilvl="1" w:tplc="0C090019">
      <w:start w:val="1"/>
      <w:numFmt w:val="lowerLetter"/>
      <w:lvlText w:val="%2."/>
      <w:lvlJc w:val="left"/>
      <w:pPr>
        <w:tabs>
          <w:tab w:val="num" w:pos="360"/>
        </w:tabs>
        <w:ind w:left="360" w:hanging="360"/>
      </w:pPr>
    </w:lvl>
    <w:lvl w:ilvl="2" w:tplc="0C09001B">
      <w:start w:val="1"/>
      <w:numFmt w:val="decimal"/>
      <w:lvlText w:val="%3."/>
      <w:lvlJc w:val="left"/>
      <w:pPr>
        <w:tabs>
          <w:tab w:val="num" w:pos="1440"/>
        </w:tabs>
        <w:ind w:left="1440" w:hanging="360"/>
      </w:pPr>
    </w:lvl>
    <w:lvl w:ilvl="3" w:tplc="0C09000F">
      <w:start w:val="1"/>
      <w:numFmt w:val="decimal"/>
      <w:lvlText w:val="%4."/>
      <w:lvlJc w:val="left"/>
      <w:pPr>
        <w:tabs>
          <w:tab w:val="num" w:pos="2160"/>
        </w:tabs>
        <w:ind w:left="2160" w:hanging="360"/>
      </w:pPr>
    </w:lvl>
    <w:lvl w:ilvl="4" w:tplc="0C090019">
      <w:start w:val="1"/>
      <w:numFmt w:val="decimal"/>
      <w:lvlText w:val="%5."/>
      <w:lvlJc w:val="left"/>
      <w:pPr>
        <w:tabs>
          <w:tab w:val="num" w:pos="2880"/>
        </w:tabs>
        <w:ind w:left="2880" w:hanging="360"/>
      </w:pPr>
    </w:lvl>
    <w:lvl w:ilvl="5" w:tplc="0C09001B">
      <w:start w:val="1"/>
      <w:numFmt w:val="decimal"/>
      <w:lvlText w:val="%6."/>
      <w:lvlJc w:val="left"/>
      <w:pPr>
        <w:tabs>
          <w:tab w:val="num" w:pos="3600"/>
        </w:tabs>
        <w:ind w:left="3600" w:hanging="360"/>
      </w:pPr>
    </w:lvl>
    <w:lvl w:ilvl="6" w:tplc="0C09000F">
      <w:start w:val="1"/>
      <w:numFmt w:val="decimal"/>
      <w:lvlText w:val="%7."/>
      <w:lvlJc w:val="left"/>
      <w:pPr>
        <w:tabs>
          <w:tab w:val="num" w:pos="4320"/>
        </w:tabs>
        <w:ind w:left="4320" w:hanging="360"/>
      </w:pPr>
    </w:lvl>
    <w:lvl w:ilvl="7" w:tplc="0C090019">
      <w:start w:val="1"/>
      <w:numFmt w:val="decimal"/>
      <w:lvlText w:val="%8."/>
      <w:lvlJc w:val="left"/>
      <w:pPr>
        <w:tabs>
          <w:tab w:val="num" w:pos="5040"/>
        </w:tabs>
        <w:ind w:left="5040" w:hanging="360"/>
      </w:pPr>
    </w:lvl>
    <w:lvl w:ilvl="8" w:tplc="0C09001B">
      <w:start w:val="1"/>
      <w:numFmt w:val="decimal"/>
      <w:lvlText w:val="%9."/>
      <w:lvlJc w:val="left"/>
      <w:pPr>
        <w:tabs>
          <w:tab w:val="num" w:pos="5760"/>
        </w:tabs>
        <w:ind w:left="5760" w:hanging="360"/>
      </w:pPr>
    </w:lvl>
  </w:abstractNum>
  <w:abstractNum w:abstractNumId="11">
    <w:nsid w:val="44221FB7"/>
    <w:multiLevelType w:val="hybridMultilevel"/>
    <w:tmpl w:val="90DE3B90"/>
    <w:lvl w:ilvl="0" w:tplc="986AA72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5147E2"/>
    <w:multiLevelType w:val="hybridMultilevel"/>
    <w:tmpl w:val="11C07322"/>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F96FF4"/>
    <w:multiLevelType w:val="hybridMultilevel"/>
    <w:tmpl w:val="11C07322"/>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F0A00D0"/>
    <w:multiLevelType w:val="hybridMultilevel"/>
    <w:tmpl w:val="F2821D62"/>
    <w:lvl w:ilvl="0" w:tplc="AAA0483C">
      <w:start w:val="1"/>
      <w:numFmt w:val="decimal"/>
      <w:lvlText w:val="%1."/>
      <w:lvlJc w:val="left"/>
      <w:pPr>
        <w:ind w:left="360" w:hanging="360"/>
      </w:pPr>
      <w:rPr>
        <w:b/>
        <w:color w:val="C60C30"/>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1002BC0"/>
    <w:multiLevelType w:val="hybridMultilevel"/>
    <w:tmpl w:val="42DAF7F8"/>
    <w:lvl w:ilvl="0" w:tplc="0C09000F">
      <w:start w:val="1"/>
      <w:numFmt w:val="decimal"/>
      <w:lvlText w:val="%1."/>
      <w:lvlJc w:val="left"/>
      <w:pPr>
        <w:ind w:left="360" w:hanging="360"/>
      </w:pPr>
    </w:lvl>
    <w:lvl w:ilvl="1" w:tplc="6A2ED138">
      <w:start w:val="1"/>
      <w:numFmt w:val="lowerLetter"/>
      <w:lvlText w:val="%2."/>
      <w:lvlJc w:val="left"/>
      <w:pPr>
        <w:ind w:left="1080" w:hanging="360"/>
      </w:pPr>
      <w:rPr>
        <w:vertAlign w:val="baseline"/>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132422A"/>
    <w:multiLevelType w:val="hybridMultilevel"/>
    <w:tmpl w:val="AEDE20E2"/>
    <w:lvl w:ilvl="0" w:tplc="F3687AD8">
      <w:start w:val="1"/>
      <w:numFmt w:val="bullet"/>
      <w:lvlText w:val=""/>
      <w:lvlJc w:val="left"/>
      <w:pPr>
        <w:ind w:left="720" w:hanging="360"/>
      </w:pPr>
      <w:rPr>
        <w:rFonts w:ascii="Symbol" w:hAnsi="Symbol" w:hint="default"/>
        <w:color w:val="C60C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CC26D5"/>
    <w:multiLevelType w:val="hybridMultilevel"/>
    <w:tmpl w:val="E77E5CBC"/>
    <w:lvl w:ilvl="0" w:tplc="D8A498AE">
      <w:start w:val="1"/>
      <w:numFmt w:val="bullet"/>
      <w:lvlText w:val=""/>
      <w:lvlJc w:val="left"/>
      <w:pPr>
        <w:ind w:left="720" w:hanging="360"/>
      </w:pPr>
      <w:rPr>
        <w:rFonts w:ascii="Symbol" w:hAnsi="Symbol" w:hint="default"/>
        <w:color w:val="C60C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C37C30"/>
    <w:multiLevelType w:val="hybridMultilevel"/>
    <w:tmpl w:val="965E08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99317EF"/>
    <w:multiLevelType w:val="hybridMultilevel"/>
    <w:tmpl w:val="2EEC6A74"/>
    <w:lvl w:ilvl="0" w:tplc="0C09000F">
      <w:start w:val="1"/>
      <w:numFmt w:val="decimal"/>
      <w:lvlText w:val="%1."/>
      <w:lvlJc w:val="left"/>
      <w:pPr>
        <w:ind w:left="360" w:hanging="360"/>
      </w:pPr>
    </w:lvl>
    <w:lvl w:ilvl="1" w:tplc="76DA0BF2">
      <w:start w:val="1"/>
      <w:numFmt w:val="bullet"/>
      <w:lvlText w:val=""/>
      <w:lvlJc w:val="left"/>
      <w:pPr>
        <w:ind w:left="1080" w:hanging="360"/>
      </w:pPr>
      <w:rPr>
        <w:rFonts w:ascii="Symbol" w:hAnsi="Symbol" w:hint="default"/>
        <w:color w:val="C60C3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AEA7FEB"/>
    <w:multiLevelType w:val="hybridMultilevel"/>
    <w:tmpl w:val="65ACFDEC"/>
    <w:lvl w:ilvl="0" w:tplc="6A2ED138">
      <w:start w:val="1"/>
      <w:numFmt w:val="lowerLetter"/>
      <w:lvlText w:val="%1."/>
      <w:lvlJc w:val="left"/>
      <w:pPr>
        <w:ind w:left="-1440" w:hanging="360"/>
      </w:pPr>
      <w:rPr>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1080" w:hanging="360"/>
      </w:pPr>
    </w:lvl>
    <w:lvl w:ilvl="5" w:tplc="0C09001B" w:tentative="1">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21">
    <w:nsid w:val="6E64428C"/>
    <w:multiLevelType w:val="hybridMultilevel"/>
    <w:tmpl w:val="5FD4B9AA"/>
    <w:lvl w:ilvl="0" w:tplc="5A92F39A">
      <w:start w:val="1"/>
      <w:numFmt w:val="bullet"/>
      <w:lvlText w:val=""/>
      <w:lvlJc w:val="left"/>
      <w:pPr>
        <w:ind w:left="720" w:hanging="360"/>
      </w:pPr>
      <w:rPr>
        <w:rFonts w:ascii="Symbol" w:hAnsi="Symbol" w:hint="default"/>
        <w:color w:val="C60C3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585B73"/>
    <w:multiLevelType w:val="hybridMultilevel"/>
    <w:tmpl w:val="7E029658"/>
    <w:lvl w:ilvl="0" w:tplc="0C09000F">
      <w:start w:val="1"/>
      <w:numFmt w:val="decimal"/>
      <w:lvlText w:val="%1."/>
      <w:lvlJc w:val="left"/>
      <w:pPr>
        <w:ind w:left="360" w:hanging="360"/>
      </w:pPr>
    </w:lvl>
    <w:lvl w:ilvl="1" w:tplc="23FAA51A">
      <w:start w:val="1"/>
      <w:numFmt w:val="bullet"/>
      <w:lvlText w:val=""/>
      <w:lvlJc w:val="left"/>
      <w:pPr>
        <w:ind w:left="1080" w:hanging="360"/>
      </w:pPr>
      <w:rPr>
        <w:rFonts w:ascii="Symbol" w:hAnsi="Symbol" w:hint="default"/>
        <w:color w:val="C60C3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52268E9"/>
    <w:multiLevelType w:val="hybridMultilevel"/>
    <w:tmpl w:val="0DF492B2"/>
    <w:lvl w:ilvl="0" w:tplc="4E2EC98E">
      <w:start w:val="1"/>
      <w:numFmt w:val="lowerLetter"/>
      <w:lvlText w:val="%1."/>
      <w:lvlJc w:val="left"/>
      <w:pPr>
        <w:ind w:left="1080" w:hanging="360"/>
      </w:pPr>
      <w:rPr>
        <w:color w:va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97E2E72"/>
    <w:multiLevelType w:val="hybridMultilevel"/>
    <w:tmpl w:val="11C07322"/>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A112FBD"/>
    <w:multiLevelType w:val="hybridMultilevel"/>
    <w:tmpl w:val="364ECF40"/>
    <w:lvl w:ilvl="0" w:tplc="84C4DFD4">
      <w:start w:val="1"/>
      <w:numFmt w:val="bullet"/>
      <w:lvlText w:val=""/>
      <w:lvlJc w:val="left"/>
      <w:pPr>
        <w:ind w:left="360" w:hanging="360"/>
      </w:pPr>
      <w:rPr>
        <w:rFonts w:ascii="Symbol" w:hAnsi="Symbol" w:hint="default"/>
        <w:color w:val="C60C3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AB669C9"/>
    <w:multiLevelType w:val="hybridMultilevel"/>
    <w:tmpl w:val="2CA62C00"/>
    <w:lvl w:ilvl="0" w:tplc="547A30C0">
      <w:start w:val="1"/>
      <w:numFmt w:val="bullet"/>
      <w:lvlText w:val=""/>
      <w:lvlJc w:val="left"/>
      <w:pPr>
        <w:ind w:left="360" w:hanging="360"/>
      </w:pPr>
      <w:rPr>
        <w:rFonts w:ascii="Symbol" w:hAnsi="Symbol" w:hint="default"/>
        <w:color w:val="C60C3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B163C7F"/>
    <w:multiLevelType w:val="hybridMultilevel"/>
    <w:tmpl w:val="65ACFDEC"/>
    <w:lvl w:ilvl="0" w:tplc="6A2ED138">
      <w:start w:val="1"/>
      <w:numFmt w:val="lowerLetter"/>
      <w:lvlText w:val="%1."/>
      <w:lvlJc w:val="left"/>
      <w:pPr>
        <w:ind w:left="720" w:hanging="360"/>
      </w:pPr>
      <w:rPr>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26"/>
  </w:num>
  <w:num w:numId="3">
    <w:abstractNumId w:val="5"/>
  </w:num>
  <w:num w:numId="4">
    <w:abstractNumId w:val="25"/>
  </w:num>
  <w:num w:numId="5">
    <w:abstractNumId w:val="21"/>
  </w:num>
  <w:num w:numId="6">
    <w:abstractNumId w:val="9"/>
  </w:num>
  <w:num w:numId="7">
    <w:abstractNumId w:val="2"/>
  </w:num>
  <w:num w:numId="8">
    <w:abstractNumId w:val="10"/>
  </w:num>
  <w:num w:numId="9">
    <w:abstractNumId w:val="16"/>
  </w:num>
  <w:num w:numId="10">
    <w:abstractNumId w:val="17"/>
  </w:num>
  <w:num w:numId="11">
    <w:abstractNumId w:val="18"/>
  </w:num>
  <w:num w:numId="12">
    <w:abstractNumId w:val="19"/>
  </w:num>
  <w:num w:numId="13">
    <w:abstractNumId w:val="8"/>
  </w:num>
  <w:num w:numId="14">
    <w:abstractNumId w:val="22"/>
  </w:num>
  <w:num w:numId="15">
    <w:abstractNumId w:val="15"/>
  </w:num>
  <w:num w:numId="16">
    <w:abstractNumId w:val="3"/>
  </w:num>
  <w:num w:numId="17">
    <w:abstractNumId w:val="14"/>
  </w:num>
  <w:num w:numId="18">
    <w:abstractNumId w:val="20"/>
  </w:num>
  <w:num w:numId="19">
    <w:abstractNumId w:val="24"/>
  </w:num>
  <w:num w:numId="20">
    <w:abstractNumId w:val="0"/>
  </w:num>
  <w:num w:numId="21">
    <w:abstractNumId w:val="23"/>
  </w:num>
  <w:num w:numId="22">
    <w:abstractNumId w:val="13"/>
  </w:num>
  <w:num w:numId="23">
    <w:abstractNumId w:val="12"/>
  </w:num>
  <w:num w:numId="24">
    <w:abstractNumId w:val="7"/>
  </w:num>
  <w:num w:numId="25">
    <w:abstractNumId w:val="11"/>
  </w:num>
  <w:num w:numId="26">
    <w:abstractNumId w:val="1"/>
  </w:num>
  <w:num w:numId="27">
    <w:abstractNumId w:val="27"/>
  </w:num>
  <w:num w:numId="28">
    <w:abstractNumId w:val="6"/>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1A"/>
    <w:rsid w:val="00012ECC"/>
    <w:rsid w:val="00020A24"/>
    <w:rsid w:val="000373C8"/>
    <w:rsid w:val="00044C33"/>
    <w:rsid w:val="00056C53"/>
    <w:rsid w:val="00062DE1"/>
    <w:rsid w:val="00072471"/>
    <w:rsid w:val="00080DB9"/>
    <w:rsid w:val="00085B70"/>
    <w:rsid w:val="00085FA0"/>
    <w:rsid w:val="0008629D"/>
    <w:rsid w:val="00094CC6"/>
    <w:rsid w:val="0009501A"/>
    <w:rsid w:val="00095F87"/>
    <w:rsid w:val="000973A1"/>
    <w:rsid w:val="000B37B4"/>
    <w:rsid w:val="000C554B"/>
    <w:rsid w:val="000D619D"/>
    <w:rsid w:val="000E1232"/>
    <w:rsid w:val="000E43C8"/>
    <w:rsid w:val="000E713C"/>
    <w:rsid w:val="000F2309"/>
    <w:rsid w:val="000F34BA"/>
    <w:rsid w:val="000F76C2"/>
    <w:rsid w:val="00105A6D"/>
    <w:rsid w:val="00107C9D"/>
    <w:rsid w:val="00110A3C"/>
    <w:rsid w:val="0011244A"/>
    <w:rsid w:val="0011741A"/>
    <w:rsid w:val="00120DDC"/>
    <w:rsid w:val="00121C6E"/>
    <w:rsid w:val="00140072"/>
    <w:rsid w:val="0014136E"/>
    <w:rsid w:val="00146975"/>
    <w:rsid w:val="00160FFB"/>
    <w:rsid w:val="00170A17"/>
    <w:rsid w:val="00173758"/>
    <w:rsid w:val="00175AEF"/>
    <w:rsid w:val="0019115D"/>
    <w:rsid w:val="00191671"/>
    <w:rsid w:val="00194209"/>
    <w:rsid w:val="001A3AA7"/>
    <w:rsid w:val="001A55A4"/>
    <w:rsid w:val="001D0E8C"/>
    <w:rsid w:val="001E6E77"/>
    <w:rsid w:val="001F4088"/>
    <w:rsid w:val="001F47A0"/>
    <w:rsid w:val="0020033D"/>
    <w:rsid w:val="00203307"/>
    <w:rsid w:val="00205991"/>
    <w:rsid w:val="002065E9"/>
    <w:rsid w:val="00220875"/>
    <w:rsid w:val="0023202B"/>
    <w:rsid w:val="0024044E"/>
    <w:rsid w:val="0024705A"/>
    <w:rsid w:val="002505D3"/>
    <w:rsid w:val="00253A75"/>
    <w:rsid w:val="002545C7"/>
    <w:rsid w:val="00255EBA"/>
    <w:rsid w:val="00265B93"/>
    <w:rsid w:val="00267666"/>
    <w:rsid w:val="002704B6"/>
    <w:rsid w:val="0028324E"/>
    <w:rsid w:val="00283588"/>
    <w:rsid w:val="00290071"/>
    <w:rsid w:val="002918F1"/>
    <w:rsid w:val="002A1612"/>
    <w:rsid w:val="002C44EE"/>
    <w:rsid w:val="002E7C39"/>
    <w:rsid w:val="002F2396"/>
    <w:rsid w:val="002F4477"/>
    <w:rsid w:val="002F5DF3"/>
    <w:rsid w:val="002F693A"/>
    <w:rsid w:val="00303E50"/>
    <w:rsid w:val="00312870"/>
    <w:rsid w:val="003221EA"/>
    <w:rsid w:val="00337C43"/>
    <w:rsid w:val="00341C54"/>
    <w:rsid w:val="00341D27"/>
    <w:rsid w:val="00345CF8"/>
    <w:rsid w:val="003546D0"/>
    <w:rsid w:val="00360625"/>
    <w:rsid w:val="00363098"/>
    <w:rsid w:val="00377DCD"/>
    <w:rsid w:val="00381126"/>
    <w:rsid w:val="003847E3"/>
    <w:rsid w:val="003917A1"/>
    <w:rsid w:val="003A29CF"/>
    <w:rsid w:val="003A665A"/>
    <w:rsid w:val="003B06B3"/>
    <w:rsid w:val="003B0CDE"/>
    <w:rsid w:val="003B756B"/>
    <w:rsid w:val="003C1A25"/>
    <w:rsid w:val="003C33FF"/>
    <w:rsid w:val="003C7952"/>
    <w:rsid w:val="003E3331"/>
    <w:rsid w:val="003F5B30"/>
    <w:rsid w:val="00402015"/>
    <w:rsid w:val="0040272C"/>
    <w:rsid w:val="0041244D"/>
    <w:rsid w:val="0041728C"/>
    <w:rsid w:val="0042284C"/>
    <w:rsid w:val="00422867"/>
    <w:rsid w:val="00435D8B"/>
    <w:rsid w:val="00436597"/>
    <w:rsid w:val="00441199"/>
    <w:rsid w:val="00451D63"/>
    <w:rsid w:val="00453324"/>
    <w:rsid w:val="004556DE"/>
    <w:rsid w:val="00456794"/>
    <w:rsid w:val="004617A6"/>
    <w:rsid w:val="00463232"/>
    <w:rsid w:val="00466BB8"/>
    <w:rsid w:val="00470475"/>
    <w:rsid w:val="00473438"/>
    <w:rsid w:val="0047531F"/>
    <w:rsid w:val="00484641"/>
    <w:rsid w:val="0048785B"/>
    <w:rsid w:val="0049030C"/>
    <w:rsid w:val="004A109C"/>
    <w:rsid w:val="004A16C2"/>
    <w:rsid w:val="004A361C"/>
    <w:rsid w:val="004A5F6A"/>
    <w:rsid w:val="004B323A"/>
    <w:rsid w:val="004C69EA"/>
    <w:rsid w:val="004C6DA7"/>
    <w:rsid w:val="004D1B50"/>
    <w:rsid w:val="004F3710"/>
    <w:rsid w:val="004F43E0"/>
    <w:rsid w:val="00517B3D"/>
    <w:rsid w:val="005213E4"/>
    <w:rsid w:val="005451AB"/>
    <w:rsid w:val="00560532"/>
    <w:rsid w:val="00563002"/>
    <w:rsid w:val="005663BA"/>
    <w:rsid w:val="00574CC4"/>
    <w:rsid w:val="005773D4"/>
    <w:rsid w:val="0058394B"/>
    <w:rsid w:val="00586D9A"/>
    <w:rsid w:val="0058764E"/>
    <w:rsid w:val="0059421E"/>
    <w:rsid w:val="00597003"/>
    <w:rsid w:val="005A0DCA"/>
    <w:rsid w:val="005A57FD"/>
    <w:rsid w:val="005B4206"/>
    <w:rsid w:val="005B5B14"/>
    <w:rsid w:val="005B61E0"/>
    <w:rsid w:val="005C6F89"/>
    <w:rsid w:val="005C7163"/>
    <w:rsid w:val="005E45D7"/>
    <w:rsid w:val="005E5EAB"/>
    <w:rsid w:val="005F556C"/>
    <w:rsid w:val="005F5FB5"/>
    <w:rsid w:val="00601436"/>
    <w:rsid w:val="00640281"/>
    <w:rsid w:val="006441B1"/>
    <w:rsid w:val="00654684"/>
    <w:rsid w:val="00655D0B"/>
    <w:rsid w:val="00657ED2"/>
    <w:rsid w:val="00661DC7"/>
    <w:rsid w:val="006628E8"/>
    <w:rsid w:val="00666436"/>
    <w:rsid w:val="00666E18"/>
    <w:rsid w:val="00677EC0"/>
    <w:rsid w:val="00686A05"/>
    <w:rsid w:val="00690745"/>
    <w:rsid w:val="00692763"/>
    <w:rsid w:val="006C03DE"/>
    <w:rsid w:val="006C0ABF"/>
    <w:rsid w:val="006C5880"/>
    <w:rsid w:val="006C5E84"/>
    <w:rsid w:val="006F6523"/>
    <w:rsid w:val="007038E0"/>
    <w:rsid w:val="00711085"/>
    <w:rsid w:val="00713025"/>
    <w:rsid w:val="00731BA3"/>
    <w:rsid w:val="00737526"/>
    <w:rsid w:val="00746D40"/>
    <w:rsid w:val="007640E4"/>
    <w:rsid w:val="00771B95"/>
    <w:rsid w:val="0078192D"/>
    <w:rsid w:val="00782681"/>
    <w:rsid w:val="00782D2B"/>
    <w:rsid w:val="00784DFF"/>
    <w:rsid w:val="00790DD7"/>
    <w:rsid w:val="007915EB"/>
    <w:rsid w:val="007A3070"/>
    <w:rsid w:val="007B0A27"/>
    <w:rsid w:val="007B3175"/>
    <w:rsid w:val="007B5B03"/>
    <w:rsid w:val="007C0B2D"/>
    <w:rsid w:val="007C3A93"/>
    <w:rsid w:val="007C5825"/>
    <w:rsid w:val="007D3B16"/>
    <w:rsid w:val="007D4570"/>
    <w:rsid w:val="007D7B61"/>
    <w:rsid w:val="007E243F"/>
    <w:rsid w:val="007E4F9B"/>
    <w:rsid w:val="007E5121"/>
    <w:rsid w:val="007F1C74"/>
    <w:rsid w:val="007F6786"/>
    <w:rsid w:val="00804DBB"/>
    <w:rsid w:val="00804FAB"/>
    <w:rsid w:val="00813A95"/>
    <w:rsid w:val="008324D5"/>
    <w:rsid w:val="0083340B"/>
    <w:rsid w:val="008406C2"/>
    <w:rsid w:val="0084269D"/>
    <w:rsid w:val="00843022"/>
    <w:rsid w:val="00865194"/>
    <w:rsid w:val="008724EA"/>
    <w:rsid w:val="00874864"/>
    <w:rsid w:val="008769D1"/>
    <w:rsid w:val="0088437E"/>
    <w:rsid w:val="00891E4B"/>
    <w:rsid w:val="008A0FF6"/>
    <w:rsid w:val="008A3A58"/>
    <w:rsid w:val="008B13A9"/>
    <w:rsid w:val="008B53C4"/>
    <w:rsid w:val="008C3F9A"/>
    <w:rsid w:val="008C4E39"/>
    <w:rsid w:val="008D01A5"/>
    <w:rsid w:val="008D34C2"/>
    <w:rsid w:val="008D5FB0"/>
    <w:rsid w:val="008D6042"/>
    <w:rsid w:val="008D6EC6"/>
    <w:rsid w:val="008F0513"/>
    <w:rsid w:val="00900C7B"/>
    <w:rsid w:val="0090380D"/>
    <w:rsid w:val="00905855"/>
    <w:rsid w:val="009122F5"/>
    <w:rsid w:val="00915F01"/>
    <w:rsid w:val="0091706A"/>
    <w:rsid w:val="009230DD"/>
    <w:rsid w:val="009325F7"/>
    <w:rsid w:val="00933B26"/>
    <w:rsid w:val="00933C78"/>
    <w:rsid w:val="0093461B"/>
    <w:rsid w:val="0093498D"/>
    <w:rsid w:val="00941640"/>
    <w:rsid w:val="009417D0"/>
    <w:rsid w:val="00961621"/>
    <w:rsid w:val="009659B7"/>
    <w:rsid w:val="00973BE9"/>
    <w:rsid w:val="00987751"/>
    <w:rsid w:val="00993543"/>
    <w:rsid w:val="009A6D55"/>
    <w:rsid w:val="009B0462"/>
    <w:rsid w:val="009B2FE6"/>
    <w:rsid w:val="009B722F"/>
    <w:rsid w:val="009C23D2"/>
    <w:rsid w:val="009D101A"/>
    <w:rsid w:val="009D2551"/>
    <w:rsid w:val="009D7F2B"/>
    <w:rsid w:val="009E36E7"/>
    <w:rsid w:val="009E3B8F"/>
    <w:rsid w:val="009E6345"/>
    <w:rsid w:val="009F246F"/>
    <w:rsid w:val="00A03340"/>
    <w:rsid w:val="00A063F4"/>
    <w:rsid w:val="00A10218"/>
    <w:rsid w:val="00A15602"/>
    <w:rsid w:val="00A20E10"/>
    <w:rsid w:val="00A22B04"/>
    <w:rsid w:val="00A25F48"/>
    <w:rsid w:val="00A308FC"/>
    <w:rsid w:val="00A356BB"/>
    <w:rsid w:val="00A46B5F"/>
    <w:rsid w:val="00A47CA4"/>
    <w:rsid w:val="00A51EBB"/>
    <w:rsid w:val="00A6201D"/>
    <w:rsid w:val="00A77C4B"/>
    <w:rsid w:val="00A77F24"/>
    <w:rsid w:val="00A819F9"/>
    <w:rsid w:val="00A86D51"/>
    <w:rsid w:val="00A92AF5"/>
    <w:rsid w:val="00A96BA7"/>
    <w:rsid w:val="00AA2900"/>
    <w:rsid w:val="00AA69E5"/>
    <w:rsid w:val="00AB17C1"/>
    <w:rsid w:val="00AC23F3"/>
    <w:rsid w:val="00AC26F4"/>
    <w:rsid w:val="00AC5838"/>
    <w:rsid w:val="00AC5F16"/>
    <w:rsid w:val="00AE154F"/>
    <w:rsid w:val="00AE2B6B"/>
    <w:rsid w:val="00AE63E4"/>
    <w:rsid w:val="00AF176A"/>
    <w:rsid w:val="00B060FF"/>
    <w:rsid w:val="00B17DF2"/>
    <w:rsid w:val="00B216D8"/>
    <w:rsid w:val="00B23649"/>
    <w:rsid w:val="00B464AD"/>
    <w:rsid w:val="00B50FF3"/>
    <w:rsid w:val="00B608C7"/>
    <w:rsid w:val="00B64DEB"/>
    <w:rsid w:val="00B736D9"/>
    <w:rsid w:val="00B77515"/>
    <w:rsid w:val="00B84DBB"/>
    <w:rsid w:val="00B96B75"/>
    <w:rsid w:val="00BB0D24"/>
    <w:rsid w:val="00BC0A0B"/>
    <w:rsid w:val="00BC19FA"/>
    <w:rsid w:val="00BE35FA"/>
    <w:rsid w:val="00BF072B"/>
    <w:rsid w:val="00BF0FF2"/>
    <w:rsid w:val="00BF537E"/>
    <w:rsid w:val="00BF76A0"/>
    <w:rsid w:val="00C03106"/>
    <w:rsid w:val="00C053C2"/>
    <w:rsid w:val="00C11A9F"/>
    <w:rsid w:val="00C143F7"/>
    <w:rsid w:val="00C1507A"/>
    <w:rsid w:val="00C169DB"/>
    <w:rsid w:val="00C2091E"/>
    <w:rsid w:val="00C240B9"/>
    <w:rsid w:val="00C476BA"/>
    <w:rsid w:val="00C479DB"/>
    <w:rsid w:val="00C5104F"/>
    <w:rsid w:val="00C51B43"/>
    <w:rsid w:val="00C5521D"/>
    <w:rsid w:val="00C67DA2"/>
    <w:rsid w:val="00C709DC"/>
    <w:rsid w:val="00C759BF"/>
    <w:rsid w:val="00C82717"/>
    <w:rsid w:val="00C835F8"/>
    <w:rsid w:val="00C861FC"/>
    <w:rsid w:val="00C86A96"/>
    <w:rsid w:val="00C93E6A"/>
    <w:rsid w:val="00CA4849"/>
    <w:rsid w:val="00CA5AFC"/>
    <w:rsid w:val="00CA6740"/>
    <w:rsid w:val="00CB0148"/>
    <w:rsid w:val="00CB7AD8"/>
    <w:rsid w:val="00CC18A9"/>
    <w:rsid w:val="00CC37C7"/>
    <w:rsid w:val="00CC41F1"/>
    <w:rsid w:val="00CC5139"/>
    <w:rsid w:val="00CE20B2"/>
    <w:rsid w:val="00CE2396"/>
    <w:rsid w:val="00CF3448"/>
    <w:rsid w:val="00CF5282"/>
    <w:rsid w:val="00CF6EDC"/>
    <w:rsid w:val="00D02BD6"/>
    <w:rsid w:val="00D10E4B"/>
    <w:rsid w:val="00D1398F"/>
    <w:rsid w:val="00D165B6"/>
    <w:rsid w:val="00D16EAB"/>
    <w:rsid w:val="00D174EE"/>
    <w:rsid w:val="00D17E3B"/>
    <w:rsid w:val="00D207B8"/>
    <w:rsid w:val="00D25E54"/>
    <w:rsid w:val="00D278EE"/>
    <w:rsid w:val="00D3230A"/>
    <w:rsid w:val="00D34CAB"/>
    <w:rsid w:val="00D35287"/>
    <w:rsid w:val="00D448CB"/>
    <w:rsid w:val="00D45904"/>
    <w:rsid w:val="00D45934"/>
    <w:rsid w:val="00D5051E"/>
    <w:rsid w:val="00D53EED"/>
    <w:rsid w:val="00D66A60"/>
    <w:rsid w:val="00D8291F"/>
    <w:rsid w:val="00D85C8D"/>
    <w:rsid w:val="00D87D0A"/>
    <w:rsid w:val="00D87FB6"/>
    <w:rsid w:val="00D95D04"/>
    <w:rsid w:val="00DA1E91"/>
    <w:rsid w:val="00DA6182"/>
    <w:rsid w:val="00DA72CB"/>
    <w:rsid w:val="00DB1053"/>
    <w:rsid w:val="00DB24B3"/>
    <w:rsid w:val="00DB6E54"/>
    <w:rsid w:val="00DC2E2E"/>
    <w:rsid w:val="00DD0011"/>
    <w:rsid w:val="00DD2C70"/>
    <w:rsid w:val="00DD3644"/>
    <w:rsid w:val="00DE1DCC"/>
    <w:rsid w:val="00E000C6"/>
    <w:rsid w:val="00E01FC5"/>
    <w:rsid w:val="00E1317F"/>
    <w:rsid w:val="00E15C6A"/>
    <w:rsid w:val="00E1670C"/>
    <w:rsid w:val="00E233B6"/>
    <w:rsid w:val="00E26022"/>
    <w:rsid w:val="00E305C3"/>
    <w:rsid w:val="00E30D7D"/>
    <w:rsid w:val="00E36463"/>
    <w:rsid w:val="00E41C02"/>
    <w:rsid w:val="00E45206"/>
    <w:rsid w:val="00E477D7"/>
    <w:rsid w:val="00E50374"/>
    <w:rsid w:val="00E525D3"/>
    <w:rsid w:val="00E570E7"/>
    <w:rsid w:val="00E62B12"/>
    <w:rsid w:val="00E64D46"/>
    <w:rsid w:val="00E65D3F"/>
    <w:rsid w:val="00E72EE9"/>
    <w:rsid w:val="00E76F34"/>
    <w:rsid w:val="00E82F91"/>
    <w:rsid w:val="00E97296"/>
    <w:rsid w:val="00E97522"/>
    <w:rsid w:val="00EA0037"/>
    <w:rsid w:val="00EA1792"/>
    <w:rsid w:val="00EA19A3"/>
    <w:rsid w:val="00EA6C0E"/>
    <w:rsid w:val="00EC0E5D"/>
    <w:rsid w:val="00EC3E67"/>
    <w:rsid w:val="00ED1A53"/>
    <w:rsid w:val="00ED1C93"/>
    <w:rsid w:val="00ED2685"/>
    <w:rsid w:val="00ED3D59"/>
    <w:rsid w:val="00ED5889"/>
    <w:rsid w:val="00EE5CDD"/>
    <w:rsid w:val="00EF4291"/>
    <w:rsid w:val="00F00362"/>
    <w:rsid w:val="00F028B6"/>
    <w:rsid w:val="00F0496A"/>
    <w:rsid w:val="00F10048"/>
    <w:rsid w:val="00F225B3"/>
    <w:rsid w:val="00F246FF"/>
    <w:rsid w:val="00F36777"/>
    <w:rsid w:val="00F5094F"/>
    <w:rsid w:val="00F539B2"/>
    <w:rsid w:val="00F56185"/>
    <w:rsid w:val="00F80CA6"/>
    <w:rsid w:val="00F8135C"/>
    <w:rsid w:val="00F81C28"/>
    <w:rsid w:val="00F93A2A"/>
    <w:rsid w:val="00FA353E"/>
    <w:rsid w:val="00FA5B6E"/>
    <w:rsid w:val="00FA5FBA"/>
    <w:rsid w:val="00FC4BB3"/>
    <w:rsid w:val="00FC5712"/>
    <w:rsid w:val="00FD07FB"/>
    <w:rsid w:val="00FD2A5A"/>
    <w:rsid w:val="00FD6E9F"/>
    <w:rsid w:val="00FD7047"/>
    <w:rsid w:val="00FE2439"/>
    <w:rsid w:val="00FE3067"/>
    <w:rsid w:val="00FE309B"/>
    <w:rsid w:val="00FF0A84"/>
    <w:rsid w:val="00FF0C02"/>
    <w:rsid w:val="00FF4C83"/>
    <w:rsid w:val="00FF7E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206"/>
    <w:rPr>
      <w:rFonts w:ascii="Calibri" w:eastAsia="Dotum" w:hAnsi="Calibri" w:cs="Calibri"/>
    </w:rPr>
  </w:style>
  <w:style w:type="paragraph" w:styleId="Heading1">
    <w:name w:val="heading 1"/>
    <w:next w:val="Normal"/>
    <w:link w:val="Heading1Char"/>
    <w:uiPriority w:val="9"/>
    <w:qFormat/>
    <w:rsid w:val="00E45206"/>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E45206"/>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E45206"/>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E45206"/>
    <w:pPr>
      <w:spacing w:after="0"/>
      <w:outlineLvl w:val="3"/>
    </w:pPr>
    <w:rPr>
      <w:rFonts w:ascii="Arial" w:hAnsi="Arial" w:cs="Arial"/>
      <w:b/>
    </w:rPr>
  </w:style>
  <w:style w:type="paragraph" w:styleId="Heading7">
    <w:name w:val="heading 7"/>
    <w:basedOn w:val="Normal"/>
    <w:next w:val="Normal"/>
    <w:link w:val="Heading7Char"/>
    <w:uiPriority w:val="9"/>
    <w:semiHidden/>
    <w:unhideWhenUsed/>
    <w:qFormat/>
    <w:rsid w:val="00E45206"/>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5206"/>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5206"/>
    <w:pPr>
      <w:keepNext/>
      <w:keepLines/>
      <w:numPr>
        <w:ilvl w:val="8"/>
        <w:numId w:val="1"/>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206"/>
    <w:pPr>
      <w:ind w:left="720"/>
      <w:contextualSpacing/>
    </w:pPr>
  </w:style>
  <w:style w:type="paragraph" w:styleId="BalloonText">
    <w:name w:val="Balloon Text"/>
    <w:basedOn w:val="Normal"/>
    <w:link w:val="BalloonTextChar"/>
    <w:uiPriority w:val="99"/>
    <w:semiHidden/>
    <w:unhideWhenUsed/>
    <w:rsid w:val="00D829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91F"/>
    <w:rPr>
      <w:rFonts w:ascii="Tahoma" w:hAnsi="Tahoma" w:cs="Tahoma"/>
      <w:sz w:val="16"/>
      <w:szCs w:val="16"/>
    </w:rPr>
  </w:style>
  <w:style w:type="character" w:styleId="CommentReference">
    <w:name w:val="annotation reference"/>
    <w:basedOn w:val="DefaultParagraphFont"/>
    <w:uiPriority w:val="99"/>
    <w:semiHidden/>
    <w:unhideWhenUsed/>
    <w:rsid w:val="00933C78"/>
    <w:rPr>
      <w:sz w:val="16"/>
      <w:szCs w:val="16"/>
    </w:rPr>
  </w:style>
  <w:style w:type="paragraph" w:styleId="CommentText">
    <w:name w:val="annotation text"/>
    <w:basedOn w:val="Normal"/>
    <w:link w:val="CommentTextChar"/>
    <w:uiPriority w:val="99"/>
    <w:semiHidden/>
    <w:unhideWhenUsed/>
    <w:rsid w:val="00933C78"/>
    <w:rPr>
      <w:sz w:val="20"/>
      <w:szCs w:val="20"/>
    </w:rPr>
  </w:style>
  <w:style w:type="character" w:customStyle="1" w:styleId="CommentTextChar">
    <w:name w:val="Comment Text Char"/>
    <w:basedOn w:val="DefaultParagraphFont"/>
    <w:link w:val="CommentText"/>
    <w:uiPriority w:val="99"/>
    <w:semiHidden/>
    <w:rsid w:val="00933C78"/>
    <w:rPr>
      <w:sz w:val="20"/>
      <w:szCs w:val="20"/>
    </w:rPr>
  </w:style>
  <w:style w:type="paragraph" w:styleId="CommentSubject">
    <w:name w:val="annotation subject"/>
    <w:basedOn w:val="CommentText"/>
    <w:next w:val="CommentText"/>
    <w:link w:val="CommentSubjectChar"/>
    <w:uiPriority w:val="99"/>
    <w:semiHidden/>
    <w:unhideWhenUsed/>
    <w:rsid w:val="00933C78"/>
    <w:rPr>
      <w:b/>
      <w:bCs/>
    </w:rPr>
  </w:style>
  <w:style w:type="character" w:customStyle="1" w:styleId="CommentSubjectChar">
    <w:name w:val="Comment Subject Char"/>
    <w:basedOn w:val="CommentTextChar"/>
    <w:link w:val="CommentSubject"/>
    <w:uiPriority w:val="99"/>
    <w:semiHidden/>
    <w:rsid w:val="00933C78"/>
    <w:rPr>
      <w:b/>
      <w:bCs/>
      <w:sz w:val="20"/>
      <w:szCs w:val="20"/>
    </w:rPr>
  </w:style>
  <w:style w:type="character" w:customStyle="1" w:styleId="Heading1Char">
    <w:name w:val="Heading 1 Char"/>
    <w:basedOn w:val="DefaultParagraphFont"/>
    <w:link w:val="Heading1"/>
    <w:uiPriority w:val="9"/>
    <w:rsid w:val="00E45206"/>
    <w:rPr>
      <w:rFonts w:ascii="Calibri" w:eastAsia="HYGothic-Extra" w:hAnsi="Calibri" w:cs="Calibri"/>
      <w:bCs/>
      <w:color w:val="1E1E1E"/>
      <w:spacing w:val="-20"/>
      <w:sz w:val="56"/>
      <w:szCs w:val="72"/>
    </w:rPr>
  </w:style>
  <w:style w:type="paragraph" w:styleId="Header">
    <w:name w:val="header"/>
    <w:basedOn w:val="Normal"/>
    <w:link w:val="HeaderChar"/>
    <w:uiPriority w:val="99"/>
    <w:unhideWhenUsed/>
    <w:rsid w:val="008F0513"/>
    <w:pPr>
      <w:tabs>
        <w:tab w:val="center" w:pos="4513"/>
        <w:tab w:val="right" w:pos="9026"/>
      </w:tabs>
      <w:spacing w:after="0"/>
    </w:pPr>
  </w:style>
  <w:style w:type="character" w:customStyle="1" w:styleId="HeaderChar">
    <w:name w:val="Header Char"/>
    <w:basedOn w:val="DefaultParagraphFont"/>
    <w:link w:val="Header"/>
    <w:uiPriority w:val="99"/>
    <w:rsid w:val="008F0513"/>
  </w:style>
  <w:style w:type="character" w:customStyle="1" w:styleId="Heading2Char">
    <w:name w:val="Heading 2 Char"/>
    <w:basedOn w:val="DefaultParagraphFont"/>
    <w:link w:val="Heading2"/>
    <w:uiPriority w:val="9"/>
    <w:rsid w:val="00E45206"/>
    <w:rPr>
      <w:rFonts w:ascii="Arial" w:eastAsia="Dotum" w:hAnsi="Arial" w:cs="Arial"/>
      <w:sz w:val="36"/>
      <w:szCs w:val="36"/>
    </w:rPr>
  </w:style>
  <w:style w:type="paragraph" w:styleId="Subtitle">
    <w:name w:val="Subtitle"/>
    <w:basedOn w:val="Normal"/>
    <w:next w:val="Normal"/>
    <w:link w:val="SubtitleChar"/>
    <w:uiPriority w:val="11"/>
    <w:qFormat/>
    <w:rsid w:val="00E4520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E45206"/>
    <w:rPr>
      <w:rFonts w:asciiTheme="majorHAnsi" w:eastAsiaTheme="majorEastAsia" w:hAnsiTheme="majorHAnsi" w:cstheme="majorBidi"/>
      <w:i/>
      <w:iCs/>
      <w:color w:val="C60C30"/>
      <w:spacing w:val="15"/>
      <w:sz w:val="24"/>
      <w:szCs w:val="24"/>
    </w:rPr>
  </w:style>
  <w:style w:type="paragraph" w:styleId="IntenseQuote">
    <w:name w:val="Intense Quote"/>
    <w:basedOn w:val="Normal"/>
    <w:next w:val="Normal"/>
    <w:link w:val="IntenseQuoteChar"/>
    <w:uiPriority w:val="30"/>
    <w:qFormat/>
    <w:rsid w:val="008F05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0513"/>
    <w:rPr>
      <w:rFonts w:ascii="Calibri" w:eastAsia="Dotum" w:hAnsi="Calibri" w:cs="Calibri"/>
      <w:b/>
      <w:bCs/>
      <w:i/>
      <w:iCs/>
      <w:color w:val="4F81BD" w:themeColor="accent1"/>
    </w:rPr>
  </w:style>
  <w:style w:type="paragraph" w:styleId="Footer">
    <w:name w:val="footer"/>
    <w:basedOn w:val="Normal"/>
    <w:link w:val="FooterChar"/>
    <w:unhideWhenUsed/>
    <w:rsid w:val="00804DBB"/>
    <w:pPr>
      <w:tabs>
        <w:tab w:val="center" w:pos="4513"/>
        <w:tab w:val="right" w:pos="9026"/>
      </w:tabs>
      <w:spacing w:after="0"/>
    </w:pPr>
  </w:style>
  <w:style w:type="character" w:customStyle="1" w:styleId="FooterChar">
    <w:name w:val="Footer Char"/>
    <w:basedOn w:val="DefaultParagraphFont"/>
    <w:link w:val="Footer"/>
    <w:uiPriority w:val="99"/>
    <w:rsid w:val="00804DBB"/>
  </w:style>
  <w:style w:type="character" w:styleId="Hyperlink">
    <w:name w:val="Hyperlink"/>
    <w:basedOn w:val="DefaultParagraphFont"/>
    <w:uiPriority w:val="99"/>
    <w:unhideWhenUsed/>
    <w:rsid w:val="00DB24B3"/>
    <w:rPr>
      <w:color w:val="0000FF" w:themeColor="hyperlink"/>
      <w:u w:val="single"/>
    </w:rPr>
  </w:style>
  <w:style w:type="paragraph" w:styleId="Revision">
    <w:name w:val="Revision"/>
    <w:hidden/>
    <w:uiPriority w:val="99"/>
    <w:semiHidden/>
    <w:rsid w:val="00EC0E5D"/>
    <w:pPr>
      <w:spacing w:after="0" w:line="240" w:lineRule="auto"/>
    </w:pPr>
  </w:style>
  <w:style w:type="paragraph" w:styleId="NoSpacing">
    <w:name w:val="No Spacing"/>
    <w:uiPriority w:val="1"/>
    <w:qFormat/>
    <w:rsid w:val="00F5094F"/>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105A6D"/>
    <w:rPr>
      <w:color w:val="800080" w:themeColor="followedHyperlink"/>
      <w:u w:val="single"/>
    </w:rPr>
  </w:style>
  <w:style w:type="paragraph" w:styleId="NormalWeb">
    <w:name w:val="Normal (Web)"/>
    <w:basedOn w:val="Normal"/>
    <w:uiPriority w:val="99"/>
    <w:unhideWhenUsed/>
    <w:rsid w:val="00B50FF3"/>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Heading3Char">
    <w:name w:val="Heading 3 Char"/>
    <w:basedOn w:val="DefaultParagraphFont"/>
    <w:link w:val="Heading3"/>
    <w:uiPriority w:val="9"/>
    <w:rsid w:val="00E45206"/>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E45206"/>
    <w:rPr>
      <w:rFonts w:ascii="Arial" w:eastAsia="Dotum" w:hAnsi="Arial" w:cs="Arial"/>
      <w:b/>
    </w:rPr>
  </w:style>
  <w:style w:type="character" w:customStyle="1" w:styleId="Heading7Char">
    <w:name w:val="Heading 7 Char"/>
    <w:basedOn w:val="DefaultParagraphFont"/>
    <w:link w:val="Heading7"/>
    <w:uiPriority w:val="9"/>
    <w:semiHidden/>
    <w:rsid w:val="00E452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52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520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45206"/>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E45206"/>
    <w:rPr>
      <w:rFonts w:ascii="Arial" w:eastAsiaTheme="majorEastAsia" w:hAnsi="Arial" w:cstheme="majorBidi"/>
      <w:caps/>
      <w:color w:val="1E1E1E"/>
      <w:spacing w:val="-22"/>
      <w:w w:val="105"/>
      <w:kern w:val="28"/>
      <w:sz w:val="80"/>
      <w:szCs w:val="80"/>
    </w:rPr>
  </w:style>
  <w:style w:type="paragraph" w:styleId="FootnoteText">
    <w:name w:val="footnote text"/>
    <w:basedOn w:val="Normal"/>
    <w:link w:val="FootnoteTextChar"/>
    <w:unhideWhenUsed/>
    <w:rsid w:val="00AC23F3"/>
    <w:pPr>
      <w:spacing w:after="0"/>
    </w:pPr>
    <w:rPr>
      <w:sz w:val="20"/>
      <w:szCs w:val="20"/>
    </w:rPr>
  </w:style>
  <w:style w:type="character" w:customStyle="1" w:styleId="FootnoteTextChar">
    <w:name w:val="Footnote Text Char"/>
    <w:basedOn w:val="DefaultParagraphFont"/>
    <w:link w:val="FootnoteText"/>
    <w:rsid w:val="00AC23F3"/>
    <w:rPr>
      <w:rFonts w:ascii="Calibri" w:eastAsia="Dotum" w:hAnsi="Calibri" w:cs="Calibri"/>
      <w:sz w:val="20"/>
      <w:szCs w:val="20"/>
    </w:rPr>
  </w:style>
  <w:style w:type="character" w:styleId="FootnoteReference">
    <w:name w:val="footnote reference"/>
    <w:basedOn w:val="DefaultParagraphFont"/>
    <w:unhideWhenUsed/>
    <w:rsid w:val="00AC23F3"/>
    <w:rPr>
      <w:vertAlign w:val="superscript"/>
    </w:rPr>
  </w:style>
  <w:style w:type="paragraph" w:styleId="EndnoteText">
    <w:name w:val="endnote text"/>
    <w:basedOn w:val="Normal"/>
    <w:link w:val="EndnoteTextChar"/>
    <w:uiPriority w:val="99"/>
    <w:semiHidden/>
    <w:unhideWhenUsed/>
    <w:rsid w:val="00AC23F3"/>
    <w:pPr>
      <w:spacing w:after="0"/>
    </w:pPr>
    <w:rPr>
      <w:sz w:val="20"/>
      <w:szCs w:val="20"/>
    </w:rPr>
  </w:style>
  <w:style w:type="character" w:customStyle="1" w:styleId="EndnoteTextChar">
    <w:name w:val="Endnote Text Char"/>
    <w:basedOn w:val="DefaultParagraphFont"/>
    <w:link w:val="EndnoteText"/>
    <w:uiPriority w:val="99"/>
    <w:semiHidden/>
    <w:rsid w:val="00AC23F3"/>
    <w:rPr>
      <w:rFonts w:ascii="Calibri" w:eastAsia="Dotum" w:hAnsi="Calibri" w:cs="Calibri"/>
      <w:sz w:val="20"/>
      <w:szCs w:val="20"/>
    </w:rPr>
  </w:style>
  <w:style w:type="character" w:styleId="EndnoteReference">
    <w:name w:val="endnote reference"/>
    <w:basedOn w:val="DefaultParagraphFont"/>
    <w:uiPriority w:val="99"/>
    <w:semiHidden/>
    <w:unhideWhenUsed/>
    <w:rsid w:val="00AC23F3"/>
    <w:rPr>
      <w:vertAlign w:val="superscript"/>
    </w:rPr>
  </w:style>
  <w:style w:type="paragraph" w:styleId="TOCHeading">
    <w:name w:val="TOC Heading"/>
    <w:basedOn w:val="Heading1"/>
    <w:next w:val="Normal"/>
    <w:uiPriority w:val="39"/>
    <w:semiHidden/>
    <w:unhideWhenUsed/>
    <w:qFormat/>
    <w:rsid w:val="00095F87"/>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2">
    <w:name w:val="toc 2"/>
    <w:basedOn w:val="Normal"/>
    <w:next w:val="Normal"/>
    <w:autoRedefine/>
    <w:uiPriority w:val="39"/>
    <w:unhideWhenUsed/>
    <w:qFormat/>
    <w:rsid w:val="0041728C"/>
    <w:pPr>
      <w:tabs>
        <w:tab w:val="right" w:leader="dot" w:pos="9016"/>
      </w:tabs>
      <w:spacing w:before="360" w:after="240"/>
      <w:ind w:left="221"/>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095F87"/>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095F87"/>
    <w:pPr>
      <w:spacing w:after="100"/>
      <w:ind w:left="440"/>
    </w:pPr>
    <w:rPr>
      <w:rFonts w:asciiTheme="minorHAnsi" w:eastAsiaTheme="minorEastAsia" w:hAnsiTheme="minorHAnsi" w:cstheme="minorBidi"/>
      <w:lang w:val="en-US" w:eastAsia="ja-JP"/>
    </w:rPr>
  </w:style>
  <w:style w:type="table" w:styleId="TableGrid">
    <w:name w:val="Table Grid"/>
    <w:basedOn w:val="TableNormal"/>
    <w:uiPriority w:val="59"/>
    <w:rsid w:val="004D1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54684"/>
  </w:style>
  <w:style w:type="character" w:styleId="HTMLCite">
    <w:name w:val="HTML Cite"/>
    <w:uiPriority w:val="99"/>
    <w:unhideWhenUsed/>
    <w:rsid w:val="006546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206"/>
    <w:rPr>
      <w:rFonts w:ascii="Calibri" w:eastAsia="Dotum" w:hAnsi="Calibri" w:cs="Calibri"/>
    </w:rPr>
  </w:style>
  <w:style w:type="paragraph" w:styleId="Heading1">
    <w:name w:val="heading 1"/>
    <w:next w:val="Normal"/>
    <w:link w:val="Heading1Char"/>
    <w:uiPriority w:val="9"/>
    <w:qFormat/>
    <w:rsid w:val="00E45206"/>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E45206"/>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E45206"/>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E45206"/>
    <w:pPr>
      <w:spacing w:after="0"/>
      <w:outlineLvl w:val="3"/>
    </w:pPr>
    <w:rPr>
      <w:rFonts w:ascii="Arial" w:hAnsi="Arial" w:cs="Arial"/>
      <w:b/>
    </w:rPr>
  </w:style>
  <w:style w:type="paragraph" w:styleId="Heading7">
    <w:name w:val="heading 7"/>
    <w:basedOn w:val="Normal"/>
    <w:next w:val="Normal"/>
    <w:link w:val="Heading7Char"/>
    <w:uiPriority w:val="9"/>
    <w:semiHidden/>
    <w:unhideWhenUsed/>
    <w:qFormat/>
    <w:rsid w:val="00E45206"/>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5206"/>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5206"/>
    <w:pPr>
      <w:keepNext/>
      <w:keepLines/>
      <w:numPr>
        <w:ilvl w:val="8"/>
        <w:numId w:val="1"/>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206"/>
    <w:pPr>
      <w:ind w:left="720"/>
      <w:contextualSpacing/>
    </w:pPr>
  </w:style>
  <w:style w:type="paragraph" w:styleId="BalloonText">
    <w:name w:val="Balloon Text"/>
    <w:basedOn w:val="Normal"/>
    <w:link w:val="BalloonTextChar"/>
    <w:uiPriority w:val="99"/>
    <w:semiHidden/>
    <w:unhideWhenUsed/>
    <w:rsid w:val="00D829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91F"/>
    <w:rPr>
      <w:rFonts w:ascii="Tahoma" w:hAnsi="Tahoma" w:cs="Tahoma"/>
      <w:sz w:val="16"/>
      <w:szCs w:val="16"/>
    </w:rPr>
  </w:style>
  <w:style w:type="character" w:styleId="CommentReference">
    <w:name w:val="annotation reference"/>
    <w:basedOn w:val="DefaultParagraphFont"/>
    <w:uiPriority w:val="99"/>
    <w:semiHidden/>
    <w:unhideWhenUsed/>
    <w:rsid w:val="00933C78"/>
    <w:rPr>
      <w:sz w:val="16"/>
      <w:szCs w:val="16"/>
    </w:rPr>
  </w:style>
  <w:style w:type="paragraph" w:styleId="CommentText">
    <w:name w:val="annotation text"/>
    <w:basedOn w:val="Normal"/>
    <w:link w:val="CommentTextChar"/>
    <w:uiPriority w:val="99"/>
    <w:semiHidden/>
    <w:unhideWhenUsed/>
    <w:rsid w:val="00933C78"/>
    <w:rPr>
      <w:sz w:val="20"/>
      <w:szCs w:val="20"/>
    </w:rPr>
  </w:style>
  <w:style w:type="character" w:customStyle="1" w:styleId="CommentTextChar">
    <w:name w:val="Comment Text Char"/>
    <w:basedOn w:val="DefaultParagraphFont"/>
    <w:link w:val="CommentText"/>
    <w:uiPriority w:val="99"/>
    <w:semiHidden/>
    <w:rsid w:val="00933C78"/>
    <w:rPr>
      <w:sz w:val="20"/>
      <w:szCs w:val="20"/>
    </w:rPr>
  </w:style>
  <w:style w:type="paragraph" w:styleId="CommentSubject">
    <w:name w:val="annotation subject"/>
    <w:basedOn w:val="CommentText"/>
    <w:next w:val="CommentText"/>
    <w:link w:val="CommentSubjectChar"/>
    <w:uiPriority w:val="99"/>
    <w:semiHidden/>
    <w:unhideWhenUsed/>
    <w:rsid w:val="00933C78"/>
    <w:rPr>
      <w:b/>
      <w:bCs/>
    </w:rPr>
  </w:style>
  <w:style w:type="character" w:customStyle="1" w:styleId="CommentSubjectChar">
    <w:name w:val="Comment Subject Char"/>
    <w:basedOn w:val="CommentTextChar"/>
    <w:link w:val="CommentSubject"/>
    <w:uiPriority w:val="99"/>
    <w:semiHidden/>
    <w:rsid w:val="00933C78"/>
    <w:rPr>
      <w:b/>
      <w:bCs/>
      <w:sz w:val="20"/>
      <w:szCs w:val="20"/>
    </w:rPr>
  </w:style>
  <w:style w:type="character" w:customStyle="1" w:styleId="Heading1Char">
    <w:name w:val="Heading 1 Char"/>
    <w:basedOn w:val="DefaultParagraphFont"/>
    <w:link w:val="Heading1"/>
    <w:uiPriority w:val="9"/>
    <w:rsid w:val="00E45206"/>
    <w:rPr>
      <w:rFonts w:ascii="Calibri" w:eastAsia="HYGothic-Extra" w:hAnsi="Calibri" w:cs="Calibri"/>
      <w:bCs/>
      <w:color w:val="1E1E1E"/>
      <w:spacing w:val="-20"/>
      <w:sz w:val="56"/>
      <w:szCs w:val="72"/>
    </w:rPr>
  </w:style>
  <w:style w:type="paragraph" w:styleId="Header">
    <w:name w:val="header"/>
    <w:basedOn w:val="Normal"/>
    <w:link w:val="HeaderChar"/>
    <w:uiPriority w:val="99"/>
    <w:unhideWhenUsed/>
    <w:rsid w:val="008F0513"/>
    <w:pPr>
      <w:tabs>
        <w:tab w:val="center" w:pos="4513"/>
        <w:tab w:val="right" w:pos="9026"/>
      </w:tabs>
      <w:spacing w:after="0"/>
    </w:pPr>
  </w:style>
  <w:style w:type="character" w:customStyle="1" w:styleId="HeaderChar">
    <w:name w:val="Header Char"/>
    <w:basedOn w:val="DefaultParagraphFont"/>
    <w:link w:val="Header"/>
    <w:uiPriority w:val="99"/>
    <w:rsid w:val="008F0513"/>
  </w:style>
  <w:style w:type="character" w:customStyle="1" w:styleId="Heading2Char">
    <w:name w:val="Heading 2 Char"/>
    <w:basedOn w:val="DefaultParagraphFont"/>
    <w:link w:val="Heading2"/>
    <w:uiPriority w:val="9"/>
    <w:rsid w:val="00E45206"/>
    <w:rPr>
      <w:rFonts w:ascii="Arial" w:eastAsia="Dotum" w:hAnsi="Arial" w:cs="Arial"/>
      <w:sz w:val="36"/>
      <w:szCs w:val="36"/>
    </w:rPr>
  </w:style>
  <w:style w:type="paragraph" w:styleId="Subtitle">
    <w:name w:val="Subtitle"/>
    <w:basedOn w:val="Normal"/>
    <w:next w:val="Normal"/>
    <w:link w:val="SubtitleChar"/>
    <w:uiPriority w:val="11"/>
    <w:qFormat/>
    <w:rsid w:val="00E4520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E45206"/>
    <w:rPr>
      <w:rFonts w:asciiTheme="majorHAnsi" w:eastAsiaTheme="majorEastAsia" w:hAnsiTheme="majorHAnsi" w:cstheme="majorBidi"/>
      <w:i/>
      <w:iCs/>
      <w:color w:val="C60C30"/>
      <w:spacing w:val="15"/>
      <w:sz w:val="24"/>
      <w:szCs w:val="24"/>
    </w:rPr>
  </w:style>
  <w:style w:type="paragraph" w:styleId="IntenseQuote">
    <w:name w:val="Intense Quote"/>
    <w:basedOn w:val="Normal"/>
    <w:next w:val="Normal"/>
    <w:link w:val="IntenseQuoteChar"/>
    <w:uiPriority w:val="30"/>
    <w:qFormat/>
    <w:rsid w:val="008F05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0513"/>
    <w:rPr>
      <w:rFonts w:ascii="Calibri" w:eastAsia="Dotum" w:hAnsi="Calibri" w:cs="Calibri"/>
      <w:b/>
      <w:bCs/>
      <w:i/>
      <w:iCs/>
      <w:color w:val="4F81BD" w:themeColor="accent1"/>
    </w:rPr>
  </w:style>
  <w:style w:type="paragraph" w:styleId="Footer">
    <w:name w:val="footer"/>
    <w:basedOn w:val="Normal"/>
    <w:link w:val="FooterChar"/>
    <w:unhideWhenUsed/>
    <w:rsid w:val="00804DBB"/>
    <w:pPr>
      <w:tabs>
        <w:tab w:val="center" w:pos="4513"/>
        <w:tab w:val="right" w:pos="9026"/>
      </w:tabs>
      <w:spacing w:after="0"/>
    </w:pPr>
  </w:style>
  <w:style w:type="character" w:customStyle="1" w:styleId="FooterChar">
    <w:name w:val="Footer Char"/>
    <w:basedOn w:val="DefaultParagraphFont"/>
    <w:link w:val="Footer"/>
    <w:uiPriority w:val="99"/>
    <w:rsid w:val="00804DBB"/>
  </w:style>
  <w:style w:type="character" w:styleId="Hyperlink">
    <w:name w:val="Hyperlink"/>
    <w:basedOn w:val="DefaultParagraphFont"/>
    <w:uiPriority w:val="99"/>
    <w:unhideWhenUsed/>
    <w:rsid w:val="00DB24B3"/>
    <w:rPr>
      <w:color w:val="0000FF" w:themeColor="hyperlink"/>
      <w:u w:val="single"/>
    </w:rPr>
  </w:style>
  <w:style w:type="paragraph" w:styleId="Revision">
    <w:name w:val="Revision"/>
    <w:hidden/>
    <w:uiPriority w:val="99"/>
    <w:semiHidden/>
    <w:rsid w:val="00EC0E5D"/>
    <w:pPr>
      <w:spacing w:after="0" w:line="240" w:lineRule="auto"/>
    </w:pPr>
  </w:style>
  <w:style w:type="paragraph" w:styleId="NoSpacing">
    <w:name w:val="No Spacing"/>
    <w:uiPriority w:val="1"/>
    <w:qFormat/>
    <w:rsid w:val="00F5094F"/>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105A6D"/>
    <w:rPr>
      <w:color w:val="800080" w:themeColor="followedHyperlink"/>
      <w:u w:val="single"/>
    </w:rPr>
  </w:style>
  <w:style w:type="paragraph" w:styleId="NormalWeb">
    <w:name w:val="Normal (Web)"/>
    <w:basedOn w:val="Normal"/>
    <w:uiPriority w:val="99"/>
    <w:unhideWhenUsed/>
    <w:rsid w:val="00B50FF3"/>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Heading3Char">
    <w:name w:val="Heading 3 Char"/>
    <w:basedOn w:val="DefaultParagraphFont"/>
    <w:link w:val="Heading3"/>
    <w:uiPriority w:val="9"/>
    <w:rsid w:val="00E45206"/>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E45206"/>
    <w:rPr>
      <w:rFonts w:ascii="Arial" w:eastAsia="Dotum" w:hAnsi="Arial" w:cs="Arial"/>
      <w:b/>
    </w:rPr>
  </w:style>
  <w:style w:type="character" w:customStyle="1" w:styleId="Heading7Char">
    <w:name w:val="Heading 7 Char"/>
    <w:basedOn w:val="DefaultParagraphFont"/>
    <w:link w:val="Heading7"/>
    <w:uiPriority w:val="9"/>
    <w:semiHidden/>
    <w:rsid w:val="00E452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52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520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45206"/>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E45206"/>
    <w:rPr>
      <w:rFonts w:ascii="Arial" w:eastAsiaTheme="majorEastAsia" w:hAnsi="Arial" w:cstheme="majorBidi"/>
      <w:caps/>
      <w:color w:val="1E1E1E"/>
      <w:spacing w:val="-22"/>
      <w:w w:val="105"/>
      <w:kern w:val="28"/>
      <w:sz w:val="80"/>
      <w:szCs w:val="80"/>
    </w:rPr>
  </w:style>
  <w:style w:type="paragraph" w:styleId="FootnoteText">
    <w:name w:val="footnote text"/>
    <w:basedOn w:val="Normal"/>
    <w:link w:val="FootnoteTextChar"/>
    <w:unhideWhenUsed/>
    <w:rsid w:val="00AC23F3"/>
    <w:pPr>
      <w:spacing w:after="0"/>
    </w:pPr>
    <w:rPr>
      <w:sz w:val="20"/>
      <w:szCs w:val="20"/>
    </w:rPr>
  </w:style>
  <w:style w:type="character" w:customStyle="1" w:styleId="FootnoteTextChar">
    <w:name w:val="Footnote Text Char"/>
    <w:basedOn w:val="DefaultParagraphFont"/>
    <w:link w:val="FootnoteText"/>
    <w:rsid w:val="00AC23F3"/>
    <w:rPr>
      <w:rFonts w:ascii="Calibri" w:eastAsia="Dotum" w:hAnsi="Calibri" w:cs="Calibri"/>
      <w:sz w:val="20"/>
      <w:szCs w:val="20"/>
    </w:rPr>
  </w:style>
  <w:style w:type="character" w:styleId="FootnoteReference">
    <w:name w:val="footnote reference"/>
    <w:basedOn w:val="DefaultParagraphFont"/>
    <w:unhideWhenUsed/>
    <w:rsid w:val="00AC23F3"/>
    <w:rPr>
      <w:vertAlign w:val="superscript"/>
    </w:rPr>
  </w:style>
  <w:style w:type="paragraph" w:styleId="EndnoteText">
    <w:name w:val="endnote text"/>
    <w:basedOn w:val="Normal"/>
    <w:link w:val="EndnoteTextChar"/>
    <w:uiPriority w:val="99"/>
    <w:semiHidden/>
    <w:unhideWhenUsed/>
    <w:rsid w:val="00AC23F3"/>
    <w:pPr>
      <w:spacing w:after="0"/>
    </w:pPr>
    <w:rPr>
      <w:sz w:val="20"/>
      <w:szCs w:val="20"/>
    </w:rPr>
  </w:style>
  <w:style w:type="character" w:customStyle="1" w:styleId="EndnoteTextChar">
    <w:name w:val="Endnote Text Char"/>
    <w:basedOn w:val="DefaultParagraphFont"/>
    <w:link w:val="EndnoteText"/>
    <w:uiPriority w:val="99"/>
    <w:semiHidden/>
    <w:rsid w:val="00AC23F3"/>
    <w:rPr>
      <w:rFonts w:ascii="Calibri" w:eastAsia="Dotum" w:hAnsi="Calibri" w:cs="Calibri"/>
      <w:sz w:val="20"/>
      <w:szCs w:val="20"/>
    </w:rPr>
  </w:style>
  <w:style w:type="character" w:styleId="EndnoteReference">
    <w:name w:val="endnote reference"/>
    <w:basedOn w:val="DefaultParagraphFont"/>
    <w:uiPriority w:val="99"/>
    <w:semiHidden/>
    <w:unhideWhenUsed/>
    <w:rsid w:val="00AC23F3"/>
    <w:rPr>
      <w:vertAlign w:val="superscript"/>
    </w:rPr>
  </w:style>
  <w:style w:type="paragraph" w:styleId="TOCHeading">
    <w:name w:val="TOC Heading"/>
    <w:basedOn w:val="Heading1"/>
    <w:next w:val="Normal"/>
    <w:uiPriority w:val="39"/>
    <w:semiHidden/>
    <w:unhideWhenUsed/>
    <w:qFormat/>
    <w:rsid w:val="00095F87"/>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2">
    <w:name w:val="toc 2"/>
    <w:basedOn w:val="Normal"/>
    <w:next w:val="Normal"/>
    <w:autoRedefine/>
    <w:uiPriority w:val="39"/>
    <w:unhideWhenUsed/>
    <w:qFormat/>
    <w:rsid w:val="0041728C"/>
    <w:pPr>
      <w:tabs>
        <w:tab w:val="right" w:leader="dot" w:pos="9016"/>
      </w:tabs>
      <w:spacing w:before="360" w:after="240"/>
      <w:ind w:left="221"/>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095F87"/>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095F87"/>
    <w:pPr>
      <w:spacing w:after="100"/>
      <w:ind w:left="440"/>
    </w:pPr>
    <w:rPr>
      <w:rFonts w:asciiTheme="minorHAnsi" w:eastAsiaTheme="minorEastAsia" w:hAnsiTheme="minorHAnsi" w:cstheme="minorBidi"/>
      <w:lang w:val="en-US" w:eastAsia="ja-JP"/>
    </w:rPr>
  </w:style>
  <w:style w:type="table" w:styleId="TableGrid">
    <w:name w:val="Table Grid"/>
    <w:basedOn w:val="TableNormal"/>
    <w:uiPriority w:val="59"/>
    <w:rsid w:val="004D1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54684"/>
  </w:style>
  <w:style w:type="character" w:styleId="HTMLCite">
    <w:name w:val="HTML Cite"/>
    <w:uiPriority w:val="99"/>
    <w:unhideWhenUsed/>
    <w:rsid w:val="006546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0221">
      <w:bodyDiv w:val="1"/>
      <w:marLeft w:val="0"/>
      <w:marRight w:val="0"/>
      <w:marTop w:val="0"/>
      <w:marBottom w:val="0"/>
      <w:divBdr>
        <w:top w:val="none" w:sz="0" w:space="0" w:color="auto"/>
        <w:left w:val="none" w:sz="0" w:space="0" w:color="auto"/>
        <w:bottom w:val="none" w:sz="0" w:space="0" w:color="auto"/>
        <w:right w:val="none" w:sz="0" w:space="0" w:color="auto"/>
      </w:divBdr>
    </w:div>
    <w:div w:id="707023536">
      <w:bodyDiv w:val="1"/>
      <w:marLeft w:val="0"/>
      <w:marRight w:val="0"/>
      <w:marTop w:val="0"/>
      <w:marBottom w:val="0"/>
      <w:divBdr>
        <w:top w:val="none" w:sz="0" w:space="0" w:color="auto"/>
        <w:left w:val="none" w:sz="0" w:space="0" w:color="auto"/>
        <w:bottom w:val="none" w:sz="0" w:space="0" w:color="auto"/>
        <w:right w:val="none" w:sz="0" w:space="0" w:color="auto"/>
      </w:divBdr>
      <w:divsChild>
        <w:div w:id="1308588304">
          <w:marLeft w:val="0"/>
          <w:marRight w:val="0"/>
          <w:marTop w:val="0"/>
          <w:marBottom w:val="0"/>
          <w:divBdr>
            <w:top w:val="none" w:sz="0" w:space="0" w:color="auto"/>
            <w:left w:val="none" w:sz="0" w:space="0" w:color="auto"/>
            <w:bottom w:val="none" w:sz="0" w:space="0" w:color="auto"/>
            <w:right w:val="none" w:sz="0" w:space="0" w:color="auto"/>
          </w:divBdr>
          <w:divsChild>
            <w:div w:id="1457720082">
              <w:marLeft w:val="0"/>
              <w:marRight w:val="0"/>
              <w:marTop w:val="0"/>
              <w:marBottom w:val="0"/>
              <w:divBdr>
                <w:top w:val="none" w:sz="0" w:space="0" w:color="auto"/>
                <w:left w:val="none" w:sz="0" w:space="0" w:color="auto"/>
                <w:bottom w:val="none" w:sz="0" w:space="0" w:color="auto"/>
                <w:right w:val="none" w:sz="0" w:space="0" w:color="auto"/>
              </w:divBdr>
              <w:divsChild>
                <w:div w:id="424614443">
                  <w:marLeft w:val="0"/>
                  <w:marRight w:val="0"/>
                  <w:marTop w:val="0"/>
                  <w:marBottom w:val="0"/>
                  <w:divBdr>
                    <w:top w:val="none" w:sz="0" w:space="0" w:color="auto"/>
                    <w:left w:val="none" w:sz="0" w:space="0" w:color="auto"/>
                    <w:bottom w:val="none" w:sz="0" w:space="0" w:color="auto"/>
                    <w:right w:val="none" w:sz="0" w:space="0" w:color="auto"/>
                  </w:divBdr>
                  <w:divsChild>
                    <w:div w:id="1526014392">
                      <w:marLeft w:val="0"/>
                      <w:marRight w:val="0"/>
                      <w:marTop w:val="0"/>
                      <w:marBottom w:val="0"/>
                      <w:divBdr>
                        <w:top w:val="none" w:sz="0" w:space="0" w:color="auto"/>
                        <w:left w:val="none" w:sz="0" w:space="0" w:color="auto"/>
                        <w:bottom w:val="none" w:sz="0" w:space="0" w:color="auto"/>
                        <w:right w:val="none" w:sz="0" w:space="0" w:color="auto"/>
                      </w:divBdr>
                      <w:divsChild>
                        <w:div w:id="2038002491">
                          <w:marLeft w:val="0"/>
                          <w:marRight w:val="0"/>
                          <w:marTop w:val="0"/>
                          <w:marBottom w:val="0"/>
                          <w:divBdr>
                            <w:top w:val="none" w:sz="0" w:space="0" w:color="auto"/>
                            <w:left w:val="none" w:sz="0" w:space="0" w:color="auto"/>
                            <w:bottom w:val="none" w:sz="0" w:space="0" w:color="auto"/>
                            <w:right w:val="none" w:sz="0" w:space="0" w:color="auto"/>
                          </w:divBdr>
                          <w:divsChild>
                            <w:div w:id="1259365495">
                              <w:marLeft w:val="0"/>
                              <w:marRight w:val="0"/>
                              <w:marTop w:val="0"/>
                              <w:marBottom w:val="0"/>
                              <w:divBdr>
                                <w:top w:val="none" w:sz="0" w:space="0" w:color="auto"/>
                                <w:left w:val="none" w:sz="0" w:space="0" w:color="auto"/>
                                <w:bottom w:val="none" w:sz="0" w:space="0" w:color="auto"/>
                                <w:right w:val="none" w:sz="0" w:space="0" w:color="auto"/>
                              </w:divBdr>
                              <w:divsChild>
                                <w:div w:id="1617712790">
                                  <w:marLeft w:val="0"/>
                                  <w:marRight w:val="0"/>
                                  <w:marTop w:val="0"/>
                                  <w:marBottom w:val="0"/>
                                  <w:divBdr>
                                    <w:top w:val="none" w:sz="0" w:space="0" w:color="auto"/>
                                    <w:left w:val="none" w:sz="0" w:space="0" w:color="auto"/>
                                    <w:bottom w:val="none" w:sz="0" w:space="0" w:color="auto"/>
                                    <w:right w:val="none" w:sz="0" w:space="0" w:color="auto"/>
                                  </w:divBdr>
                                  <w:divsChild>
                                    <w:div w:id="1434982495">
                                      <w:marLeft w:val="0"/>
                                      <w:marRight w:val="0"/>
                                      <w:marTop w:val="0"/>
                                      <w:marBottom w:val="0"/>
                                      <w:divBdr>
                                        <w:top w:val="none" w:sz="0" w:space="0" w:color="auto"/>
                                        <w:left w:val="none" w:sz="0" w:space="0" w:color="auto"/>
                                        <w:bottom w:val="none" w:sz="0" w:space="0" w:color="auto"/>
                                        <w:right w:val="none" w:sz="0" w:space="0" w:color="auto"/>
                                      </w:divBdr>
                                      <w:divsChild>
                                        <w:div w:id="1404138601">
                                          <w:marLeft w:val="0"/>
                                          <w:marRight w:val="0"/>
                                          <w:marTop w:val="0"/>
                                          <w:marBottom w:val="0"/>
                                          <w:divBdr>
                                            <w:top w:val="none" w:sz="0" w:space="0" w:color="auto"/>
                                            <w:left w:val="none" w:sz="0" w:space="0" w:color="auto"/>
                                            <w:bottom w:val="none" w:sz="0" w:space="0" w:color="auto"/>
                                            <w:right w:val="none" w:sz="0" w:space="0" w:color="auto"/>
                                          </w:divBdr>
                                          <w:divsChild>
                                            <w:div w:id="1635674705">
                                              <w:marLeft w:val="0"/>
                                              <w:marRight w:val="0"/>
                                              <w:marTop w:val="0"/>
                                              <w:marBottom w:val="0"/>
                                              <w:divBdr>
                                                <w:top w:val="none" w:sz="0" w:space="0" w:color="auto"/>
                                                <w:left w:val="none" w:sz="0" w:space="0" w:color="auto"/>
                                                <w:bottom w:val="none" w:sz="0" w:space="0" w:color="auto"/>
                                                <w:right w:val="none" w:sz="0" w:space="0" w:color="auto"/>
                                              </w:divBdr>
                                              <w:divsChild>
                                                <w:div w:id="1998801619">
                                                  <w:marLeft w:val="0"/>
                                                  <w:marRight w:val="0"/>
                                                  <w:marTop w:val="0"/>
                                                  <w:marBottom w:val="0"/>
                                                  <w:divBdr>
                                                    <w:top w:val="none" w:sz="0" w:space="0" w:color="auto"/>
                                                    <w:left w:val="none" w:sz="0" w:space="0" w:color="auto"/>
                                                    <w:bottom w:val="none" w:sz="0" w:space="0" w:color="auto"/>
                                                    <w:right w:val="none" w:sz="0" w:space="0" w:color="auto"/>
                                                  </w:divBdr>
                                                  <w:divsChild>
                                                    <w:div w:id="1854489880">
                                                      <w:marLeft w:val="0"/>
                                                      <w:marRight w:val="0"/>
                                                      <w:marTop w:val="0"/>
                                                      <w:marBottom w:val="0"/>
                                                      <w:divBdr>
                                                        <w:top w:val="none" w:sz="0" w:space="0" w:color="auto"/>
                                                        <w:left w:val="none" w:sz="0" w:space="0" w:color="auto"/>
                                                        <w:bottom w:val="none" w:sz="0" w:space="0" w:color="auto"/>
                                                        <w:right w:val="none" w:sz="0" w:space="0" w:color="auto"/>
                                                      </w:divBdr>
                                                      <w:divsChild>
                                                        <w:div w:id="1960182477">
                                                          <w:marLeft w:val="0"/>
                                                          <w:marRight w:val="0"/>
                                                          <w:marTop w:val="0"/>
                                                          <w:marBottom w:val="0"/>
                                                          <w:divBdr>
                                                            <w:top w:val="none" w:sz="0" w:space="0" w:color="auto"/>
                                                            <w:left w:val="none" w:sz="0" w:space="0" w:color="auto"/>
                                                            <w:bottom w:val="none" w:sz="0" w:space="0" w:color="auto"/>
                                                            <w:right w:val="none" w:sz="0" w:space="0" w:color="auto"/>
                                                          </w:divBdr>
                                                          <w:divsChild>
                                                            <w:div w:id="153618042">
                                                              <w:marLeft w:val="0"/>
                                                              <w:marRight w:val="0"/>
                                                              <w:marTop w:val="0"/>
                                                              <w:marBottom w:val="0"/>
                                                              <w:divBdr>
                                                                <w:top w:val="none" w:sz="0" w:space="0" w:color="auto"/>
                                                                <w:left w:val="none" w:sz="0" w:space="0" w:color="auto"/>
                                                                <w:bottom w:val="none" w:sz="0" w:space="0" w:color="auto"/>
                                                                <w:right w:val="none" w:sz="0" w:space="0" w:color="auto"/>
                                                              </w:divBdr>
                                                              <w:divsChild>
                                                                <w:div w:id="2051295718">
                                                                  <w:marLeft w:val="0"/>
                                                                  <w:marRight w:val="0"/>
                                                                  <w:marTop w:val="0"/>
                                                                  <w:marBottom w:val="0"/>
                                                                  <w:divBdr>
                                                                    <w:top w:val="none" w:sz="0" w:space="0" w:color="auto"/>
                                                                    <w:left w:val="none" w:sz="0" w:space="0" w:color="auto"/>
                                                                    <w:bottom w:val="none" w:sz="0" w:space="0" w:color="auto"/>
                                                                    <w:right w:val="none" w:sz="0" w:space="0" w:color="auto"/>
                                                                  </w:divBdr>
                                                                  <w:divsChild>
                                                                    <w:div w:id="1301182189">
                                                                      <w:marLeft w:val="0"/>
                                                                      <w:marRight w:val="0"/>
                                                                      <w:marTop w:val="0"/>
                                                                      <w:marBottom w:val="0"/>
                                                                      <w:divBdr>
                                                                        <w:top w:val="none" w:sz="0" w:space="0" w:color="auto"/>
                                                                        <w:left w:val="none" w:sz="0" w:space="0" w:color="auto"/>
                                                                        <w:bottom w:val="none" w:sz="0" w:space="0" w:color="auto"/>
                                                                        <w:right w:val="none" w:sz="0" w:space="0" w:color="auto"/>
                                                                      </w:divBdr>
                                                                      <w:divsChild>
                                                                        <w:div w:id="1228228180">
                                                                          <w:marLeft w:val="0"/>
                                                                          <w:marRight w:val="0"/>
                                                                          <w:marTop w:val="0"/>
                                                                          <w:marBottom w:val="0"/>
                                                                          <w:divBdr>
                                                                            <w:top w:val="none" w:sz="0" w:space="0" w:color="auto"/>
                                                                            <w:left w:val="none" w:sz="0" w:space="0" w:color="auto"/>
                                                                            <w:bottom w:val="none" w:sz="0" w:space="0" w:color="auto"/>
                                                                            <w:right w:val="none" w:sz="0" w:space="0" w:color="auto"/>
                                                                          </w:divBdr>
                                                                          <w:divsChild>
                                                                            <w:div w:id="89932809">
                                                                              <w:marLeft w:val="0"/>
                                                                              <w:marRight w:val="0"/>
                                                                              <w:marTop w:val="0"/>
                                                                              <w:marBottom w:val="0"/>
                                                                              <w:divBdr>
                                                                                <w:top w:val="none" w:sz="0" w:space="0" w:color="auto"/>
                                                                                <w:left w:val="none" w:sz="0" w:space="0" w:color="auto"/>
                                                                                <w:bottom w:val="none" w:sz="0" w:space="0" w:color="auto"/>
                                                                                <w:right w:val="none" w:sz="0" w:space="0" w:color="auto"/>
                                                                              </w:divBdr>
                                                                              <w:divsChild>
                                                                                <w:div w:id="1730227889">
                                                                                  <w:marLeft w:val="0"/>
                                                                                  <w:marRight w:val="0"/>
                                                                                  <w:marTop w:val="0"/>
                                                                                  <w:marBottom w:val="0"/>
                                                                                  <w:divBdr>
                                                                                    <w:top w:val="none" w:sz="0" w:space="0" w:color="auto"/>
                                                                                    <w:left w:val="none" w:sz="0" w:space="0" w:color="auto"/>
                                                                                    <w:bottom w:val="none" w:sz="0" w:space="0" w:color="auto"/>
                                                                                    <w:right w:val="none" w:sz="0" w:space="0" w:color="auto"/>
                                                                                  </w:divBdr>
                                                                                  <w:divsChild>
                                                                                    <w:div w:id="1375890054">
                                                                                      <w:marLeft w:val="0"/>
                                                                                      <w:marRight w:val="0"/>
                                                                                      <w:marTop w:val="0"/>
                                                                                      <w:marBottom w:val="0"/>
                                                                                      <w:divBdr>
                                                                                        <w:top w:val="none" w:sz="0" w:space="0" w:color="auto"/>
                                                                                        <w:left w:val="none" w:sz="0" w:space="0" w:color="auto"/>
                                                                                        <w:bottom w:val="none" w:sz="0" w:space="0" w:color="auto"/>
                                                                                        <w:right w:val="none" w:sz="0" w:space="0" w:color="auto"/>
                                                                                      </w:divBdr>
                                                                                      <w:divsChild>
                                                                                        <w:div w:id="1359814612">
                                                                                          <w:marLeft w:val="0"/>
                                                                                          <w:marRight w:val="0"/>
                                                                                          <w:marTop w:val="0"/>
                                                                                          <w:marBottom w:val="0"/>
                                                                                          <w:divBdr>
                                                                                            <w:top w:val="none" w:sz="0" w:space="0" w:color="auto"/>
                                                                                            <w:left w:val="none" w:sz="0" w:space="0" w:color="auto"/>
                                                                                            <w:bottom w:val="none" w:sz="0" w:space="0" w:color="auto"/>
                                                                                            <w:right w:val="none" w:sz="0" w:space="0" w:color="auto"/>
                                                                                          </w:divBdr>
                                                                                          <w:divsChild>
                                                                                            <w:div w:id="1066339742">
                                                                                              <w:marLeft w:val="0"/>
                                                                                              <w:marRight w:val="0"/>
                                                                                              <w:marTop w:val="0"/>
                                                                                              <w:marBottom w:val="0"/>
                                                                                              <w:divBdr>
                                                                                                <w:top w:val="none" w:sz="0" w:space="0" w:color="auto"/>
                                                                                                <w:left w:val="none" w:sz="0" w:space="0" w:color="auto"/>
                                                                                                <w:bottom w:val="none" w:sz="0" w:space="0" w:color="auto"/>
                                                                                                <w:right w:val="none" w:sz="0" w:space="0" w:color="auto"/>
                                                                                              </w:divBdr>
                                                                                              <w:divsChild>
                                                                                                <w:div w:id="1086268836">
                                                                                                  <w:marLeft w:val="0"/>
                                                                                                  <w:marRight w:val="0"/>
                                                                                                  <w:marTop w:val="0"/>
                                                                                                  <w:marBottom w:val="0"/>
                                                                                                  <w:divBdr>
                                                                                                    <w:top w:val="none" w:sz="0" w:space="0" w:color="auto"/>
                                                                                                    <w:left w:val="none" w:sz="0" w:space="0" w:color="auto"/>
                                                                                                    <w:bottom w:val="none" w:sz="0" w:space="0" w:color="auto"/>
                                                                                                    <w:right w:val="none" w:sz="0" w:space="0" w:color="auto"/>
                                                                                                  </w:divBdr>
                                                                                                  <w:divsChild>
                                                                                                    <w:div w:id="543517368">
                                                                                                      <w:marLeft w:val="0"/>
                                                                                                      <w:marRight w:val="0"/>
                                                                                                      <w:marTop w:val="0"/>
                                                                                                      <w:marBottom w:val="0"/>
                                                                                                      <w:divBdr>
                                                                                                        <w:top w:val="none" w:sz="0" w:space="0" w:color="auto"/>
                                                                                                        <w:left w:val="none" w:sz="0" w:space="0" w:color="auto"/>
                                                                                                        <w:bottom w:val="none" w:sz="0" w:space="0" w:color="auto"/>
                                                                                                        <w:right w:val="none" w:sz="0" w:space="0" w:color="auto"/>
                                                                                                      </w:divBdr>
                                                                                                      <w:divsChild>
                                                                                                        <w:div w:id="1016888112">
                                                                                                          <w:marLeft w:val="0"/>
                                                                                                          <w:marRight w:val="0"/>
                                                                                                          <w:marTop w:val="0"/>
                                                                                                          <w:marBottom w:val="0"/>
                                                                                                          <w:divBdr>
                                                                                                            <w:top w:val="none" w:sz="0" w:space="0" w:color="auto"/>
                                                                                                            <w:left w:val="none" w:sz="0" w:space="0" w:color="auto"/>
                                                                                                            <w:bottom w:val="none" w:sz="0" w:space="0" w:color="auto"/>
                                                                                                            <w:right w:val="none" w:sz="0" w:space="0" w:color="auto"/>
                                                                                                          </w:divBdr>
                                                                                                          <w:divsChild>
                                                                                                            <w:div w:id="1744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4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7744">
          <w:marLeft w:val="0"/>
          <w:marRight w:val="0"/>
          <w:marTop w:val="0"/>
          <w:marBottom w:val="0"/>
          <w:divBdr>
            <w:top w:val="none" w:sz="0" w:space="0" w:color="auto"/>
            <w:left w:val="none" w:sz="0" w:space="0" w:color="auto"/>
            <w:bottom w:val="none" w:sz="0" w:space="0" w:color="auto"/>
            <w:right w:val="none" w:sz="0" w:space="0" w:color="auto"/>
          </w:divBdr>
          <w:divsChild>
            <w:div w:id="756243399">
              <w:marLeft w:val="0"/>
              <w:marRight w:val="0"/>
              <w:marTop w:val="0"/>
              <w:marBottom w:val="0"/>
              <w:divBdr>
                <w:top w:val="none" w:sz="0" w:space="0" w:color="auto"/>
                <w:left w:val="none" w:sz="0" w:space="0" w:color="auto"/>
                <w:bottom w:val="none" w:sz="0" w:space="0" w:color="auto"/>
                <w:right w:val="none" w:sz="0" w:space="0" w:color="auto"/>
              </w:divBdr>
              <w:divsChild>
                <w:div w:id="2059090670">
                  <w:marLeft w:val="0"/>
                  <w:marRight w:val="0"/>
                  <w:marTop w:val="0"/>
                  <w:marBottom w:val="0"/>
                  <w:divBdr>
                    <w:top w:val="none" w:sz="0" w:space="0" w:color="auto"/>
                    <w:left w:val="none" w:sz="0" w:space="0" w:color="auto"/>
                    <w:bottom w:val="none" w:sz="0" w:space="0" w:color="auto"/>
                    <w:right w:val="none" w:sz="0" w:space="0" w:color="auto"/>
                  </w:divBdr>
                  <w:divsChild>
                    <w:div w:id="674452500">
                      <w:marLeft w:val="0"/>
                      <w:marRight w:val="0"/>
                      <w:marTop w:val="0"/>
                      <w:marBottom w:val="0"/>
                      <w:divBdr>
                        <w:top w:val="none" w:sz="0" w:space="0" w:color="auto"/>
                        <w:left w:val="none" w:sz="0" w:space="0" w:color="auto"/>
                        <w:bottom w:val="none" w:sz="0" w:space="0" w:color="auto"/>
                        <w:right w:val="none" w:sz="0" w:space="0" w:color="auto"/>
                      </w:divBdr>
                      <w:divsChild>
                        <w:div w:id="1461269201">
                          <w:marLeft w:val="0"/>
                          <w:marRight w:val="0"/>
                          <w:marTop w:val="0"/>
                          <w:marBottom w:val="0"/>
                          <w:divBdr>
                            <w:top w:val="none" w:sz="0" w:space="0" w:color="auto"/>
                            <w:left w:val="none" w:sz="0" w:space="0" w:color="auto"/>
                            <w:bottom w:val="none" w:sz="0" w:space="0" w:color="auto"/>
                            <w:right w:val="none" w:sz="0" w:space="0" w:color="auto"/>
                          </w:divBdr>
                          <w:divsChild>
                            <w:div w:id="1717855476">
                              <w:marLeft w:val="0"/>
                              <w:marRight w:val="0"/>
                              <w:marTop w:val="0"/>
                              <w:marBottom w:val="0"/>
                              <w:divBdr>
                                <w:top w:val="none" w:sz="0" w:space="0" w:color="auto"/>
                                <w:left w:val="none" w:sz="0" w:space="0" w:color="auto"/>
                                <w:bottom w:val="none" w:sz="0" w:space="0" w:color="auto"/>
                                <w:right w:val="none" w:sz="0" w:space="0" w:color="auto"/>
                              </w:divBdr>
                              <w:divsChild>
                                <w:div w:id="2133745848">
                                  <w:marLeft w:val="0"/>
                                  <w:marRight w:val="0"/>
                                  <w:marTop w:val="0"/>
                                  <w:marBottom w:val="0"/>
                                  <w:divBdr>
                                    <w:top w:val="none" w:sz="0" w:space="0" w:color="auto"/>
                                    <w:left w:val="none" w:sz="0" w:space="0" w:color="auto"/>
                                    <w:bottom w:val="none" w:sz="0" w:space="0" w:color="auto"/>
                                    <w:right w:val="none" w:sz="0" w:space="0" w:color="auto"/>
                                  </w:divBdr>
                                  <w:divsChild>
                                    <w:div w:id="1120076359">
                                      <w:marLeft w:val="0"/>
                                      <w:marRight w:val="0"/>
                                      <w:marTop w:val="0"/>
                                      <w:marBottom w:val="0"/>
                                      <w:divBdr>
                                        <w:top w:val="none" w:sz="0" w:space="0" w:color="auto"/>
                                        <w:left w:val="none" w:sz="0" w:space="0" w:color="auto"/>
                                        <w:bottom w:val="none" w:sz="0" w:space="0" w:color="auto"/>
                                        <w:right w:val="none" w:sz="0" w:space="0" w:color="auto"/>
                                      </w:divBdr>
                                      <w:divsChild>
                                        <w:div w:id="342128268">
                                          <w:marLeft w:val="0"/>
                                          <w:marRight w:val="0"/>
                                          <w:marTop w:val="0"/>
                                          <w:marBottom w:val="0"/>
                                          <w:divBdr>
                                            <w:top w:val="none" w:sz="0" w:space="0" w:color="auto"/>
                                            <w:left w:val="none" w:sz="0" w:space="0" w:color="auto"/>
                                            <w:bottom w:val="none" w:sz="0" w:space="0" w:color="auto"/>
                                            <w:right w:val="none" w:sz="0" w:space="0" w:color="auto"/>
                                          </w:divBdr>
                                          <w:divsChild>
                                            <w:div w:id="265619483">
                                              <w:marLeft w:val="0"/>
                                              <w:marRight w:val="0"/>
                                              <w:marTop w:val="0"/>
                                              <w:marBottom w:val="0"/>
                                              <w:divBdr>
                                                <w:top w:val="none" w:sz="0" w:space="0" w:color="auto"/>
                                                <w:left w:val="none" w:sz="0" w:space="0" w:color="auto"/>
                                                <w:bottom w:val="none" w:sz="0" w:space="0" w:color="auto"/>
                                                <w:right w:val="none" w:sz="0" w:space="0" w:color="auto"/>
                                              </w:divBdr>
                                            </w:div>
                                            <w:div w:id="919604996">
                                              <w:marLeft w:val="0"/>
                                              <w:marRight w:val="0"/>
                                              <w:marTop w:val="0"/>
                                              <w:marBottom w:val="0"/>
                                              <w:divBdr>
                                                <w:top w:val="none" w:sz="0" w:space="0" w:color="auto"/>
                                                <w:left w:val="none" w:sz="0" w:space="0" w:color="auto"/>
                                                <w:bottom w:val="none" w:sz="0" w:space="0" w:color="auto"/>
                                                <w:right w:val="none" w:sz="0" w:space="0" w:color="auto"/>
                                              </w:divBdr>
                                              <w:divsChild>
                                                <w:div w:id="543835058">
                                                  <w:marLeft w:val="0"/>
                                                  <w:marRight w:val="0"/>
                                                  <w:marTop w:val="0"/>
                                                  <w:marBottom w:val="0"/>
                                                  <w:divBdr>
                                                    <w:top w:val="none" w:sz="0" w:space="0" w:color="auto"/>
                                                    <w:left w:val="none" w:sz="0" w:space="0" w:color="auto"/>
                                                    <w:bottom w:val="none" w:sz="0" w:space="0" w:color="auto"/>
                                                    <w:right w:val="none" w:sz="0" w:space="0" w:color="auto"/>
                                                  </w:divBdr>
                                                  <w:divsChild>
                                                    <w:div w:id="1158419117">
                                                      <w:marLeft w:val="0"/>
                                                      <w:marRight w:val="0"/>
                                                      <w:marTop w:val="0"/>
                                                      <w:marBottom w:val="0"/>
                                                      <w:divBdr>
                                                        <w:top w:val="none" w:sz="0" w:space="0" w:color="auto"/>
                                                        <w:left w:val="none" w:sz="0" w:space="0" w:color="auto"/>
                                                        <w:bottom w:val="none" w:sz="0" w:space="0" w:color="auto"/>
                                                        <w:right w:val="none" w:sz="0" w:space="0" w:color="auto"/>
                                                      </w:divBdr>
                                                      <w:divsChild>
                                                        <w:div w:id="1716153271">
                                                          <w:marLeft w:val="0"/>
                                                          <w:marRight w:val="0"/>
                                                          <w:marTop w:val="0"/>
                                                          <w:marBottom w:val="0"/>
                                                          <w:divBdr>
                                                            <w:top w:val="none" w:sz="0" w:space="0" w:color="auto"/>
                                                            <w:left w:val="none" w:sz="0" w:space="0" w:color="auto"/>
                                                            <w:bottom w:val="none" w:sz="0" w:space="0" w:color="auto"/>
                                                            <w:right w:val="none" w:sz="0" w:space="0" w:color="auto"/>
                                                          </w:divBdr>
                                                        </w:div>
                                                        <w:div w:id="1100639194">
                                                          <w:marLeft w:val="0"/>
                                                          <w:marRight w:val="0"/>
                                                          <w:marTop w:val="0"/>
                                                          <w:marBottom w:val="0"/>
                                                          <w:divBdr>
                                                            <w:top w:val="none" w:sz="0" w:space="0" w:color="auto"/>
                                                            <w:left w:val="none" w:sz="0" w:space="0" w:color="auto"/>
                                                            <w:bottom w:val="none" w:sz="0" w:space="0" w:color="auto"/>
                                                            <w:right w:val="none" w:sz="0" w:space="0" w:color="auto"/>
                                                          </w:divBdr>
                                                          <w:divsChild>
                                                            <w:div w:id="9352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80637">
                          <w:marLeft w:val="0"/>
                          <w:marRight w:val="0"/>
                          <w:marTop w:val="0"/>
                          <w:marBottom w:val="0"/>
                          <w:divBdr>
                            <w:top w:val="none" w:sz="0" w:space="0" w:color="auto"/>
                            <w:left w:val="none" w:sz="0" w:space="0" w:color="auto"/>
                            <w:bottom w:val="none" w:sz="0" w:space="0" w:color="auto"/>
                            <w:right w:val="none" w:sz="0" w:space="0" w:color="auto"/>
                          </w:divBdr>
                          <w:divsChild>
                            <w:div w:id="1064066975">
                              <w:marLeft w:val="0"/>
                              <w:marRight w:val="0"/>
                              <w:marTop w:val="0"/>
                              <w:marBottom w:val="0"/>
                              <w:divBdr>
                                <w:top w:val="none" w:sz="0" w:space="0" w:color="auto"/>
                                <w:left w:val="none" w:sz="0" w:space="0" w:color="auto"/>
                                <w:bottom w:val="none" w:sz="0" w:space="0" w:color="auto"/>
                                <w:right w:val="none" w:sz="0" w:space="0" w:color="auto"/>
                              </w:divBdr>
                              <w:divsChild>
                                <w:div w:id="1074013775">
                                  <w:marLeft w:val="0"/>
                                  <w:marRight w:val="0"/>
                                  <w:marTop w:val="0"/>
                                  <w:marBottom w:val="0"/>
                                  <w:divBdr>
                                    <w:top w:val="none" w:sz="0" w:space="0" w:color="auto"/>
                                    <w:left w:val="none" w:sz="0" w:space="0" w:color="auto"/>
                                    <w:bottom w:val="none" w:sz="0" w:space="0" w:color="auto"/>
                                    <w:right w:val="none" w:sz="0" w:space="0" w:color="auto"/>
                                  </w:divBdr>
                                  <w:divsChild>
                                    <w:div w:id="284242268">
                                      <w:marLeft w:val="0"/>
                                      <w:marRight w:val="0"/>
                                      <w:marTop w:val="0"/>
                                      <w:marBottom w:val="0"/>
                                      <w:divBdr>
                                        <w:top w:val="none" w:sz="0" w:space="0" w:color="auto"/>
                                        <w:left w:val="none" w:sz="0" w:space="0" w:color="auto"/>
                                        <w:bottom w:val="none" w:sz="0" w:space="0" w:color="auto"/>
                                        <w:right w:val="none" w:sz="0" w:space="0" w:color="auto"/>
                                      </w:divBdr>
                                      <w:divsChild>
                                        <w:div w:id="1989554670">
                                          <w:marLeft w:val="0"/>
                                          <w:marRight w:val="0"/>
                                          <w:marTop w:val="0"/>
                                          <w:marBottom w:val="0"/>
                                          <w:divBdr>
                                            <w:top w:val="none" w:sz="0" w:space="0" w:color="auto"/>
                                            <w:left w:val="none" w:sz="0" w:space="0" w:color="auto"/>
                                            <w:bottom w:val="none" w:sz="0" w:space="0" w:color="auto"/>
                                            <w:right w:val="none" w:sz="0" w:space="0" w:color="auto"/>
                                          </w:divBdr>
                                          <w:divsChild>
                                            <w:div w:id="1757746280">
                                              <w:marLeft w:val="0"/>
                                              <w:marRight w:val="0"/>
                                              <w:marTop w:val="0"/>
                                              <w:marBottom w:val="0"/>
                                              <w:divBdr>
                                                <w:top w:val="none" w:sz="0" w:space="0" w:color="auto"/>
                                                <w:left w:val="none" w:sz="0" w:space="0" w:color="auto"/>
                                                <w:bottom w:val="none" w:sz="0" w:space="0" w:color="auto"/>
                                                <w:right w:val="none" w:sz="0" w:space="0" w:color="auto"/>
                                              </w:divBdr>
                                              <w:divsChild>
                                                <w:div w:id="6941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96749">
                          <w:marLeft w:val="0"/>
                          <w:marRight w:val="0"/>
                          <w:marTop w:val="0"/>
                          <w:marBottom w:val="0"/>
                          <w:divBdr>
                            <w:top w:val="none" w:sz="0" w:space="0" w:color="auto"/>
                            <w:left w:val="none" w:sz="0" w:space="0" w:color="auto"/>
                            <w:bottom w:val="none" w:sz="0" w:space="0" w:color="auto"/>
                            <w:right w:val="none" w:sz="0" w:space="0" w:color="auto"/>
                          </w:divBdr>
                          <w:divsChild>
                            <w:div w:id="1741752893">
                              <w:marLeft w:val="0"/>
                              <w:marRight w:val="0"/>
                              <w:marTop w:val="0"/>
                              <w:marBottom w:val="0"/>
                              <w:divBdr>
                                <w:top w:val="none" w:sz="0" w:space="0" w:color="auto"/>
                                <w:left w:val="none" w:sz="0" w:space="0" w:color="auto"/>
                                <w:bottom w:val="none" w:sz="0" w:space="0" w:color="auto"/>
                                <w:right w:val="none" w:sz="0" w:space="0" w:color="auto"/>
                              </w:divBdr>
                              <w:divsChild>
                                <w:div w:id="660543812">
                                  <w:marLeft w:val="0"/>
                                  <w:marRight w:val="0"/>
                                  <w:marTop w:val="0"/>
                                  <w:marBottom w:val="0"/>
                                  <w:divBdr>
                                    <w:top w:val="none" w:sz="0" w:space="0" w:color="auto"/>
                                    <w:left w:val="none" w:sz="0" w:space="0" w:color="auto"/>
                                    <w:bottom w:val="none" w:sz="0" w:space="0" w:color="auto"/>
                                    <w:right w:val="none" w:sz="0" w:space="0" w:color="auto"/>
                                  </w:divBdr>
                                  <w:divsChild>
                                    <w:div w:id="1519661084">
                                      <w:marLeft w:val="0"/>
                                      <w:marRight w:val="0"/>
                                      <w:marTop w:val="0"/>
                                      <w:marBottom w:val="0"/>
                                      <w:divBdr>
                                        <w:top w:val="none" w:sz="0" w:space="0" w:color="auto"/>
                                        <w:left w:val="none" w:sz="0" w:space="0" w:color="auto"/>
                                        <w:bottom w:val="none" w:sz="0" w:space="0" w:color="auto"/>
                                        <w:right w:val="none" w:sz="0" w:space="0" w:color="auto"/>
                                      </w:divBdr>
                                      <w:divsChild>
                                        <w:div w:id="1667587408">
                                          <w:marLeft w:val="0"/>
                                          <w:marRight w:val="0"/>
                                          <w:marTop w:val="0"/>
                                          <w:marBottom w:val="0"/>
                                          <w:divBdr>
                                            <w:top w:val="none" w:sz="0" w:space="0" w:color="auto"/>
                                            <w:left w:val="none" w:sz="0" w:space="0" w:color="auto"/>
                                            <w:bottom w:val="none" w:sz="0" w:space="0" w:color="auto"/>
                                            <w:right w:val="none" w:sz="0" w:space="0" w:color="auto"/>
                                          </w:divBdr>
                                          <w:divsChild>
                                            <w:div w:id="1509097825">
                                              <w:marLeft w:val="0"/>
                                              <w:marRight w:val="0"/>
                                              <w:marTop w:val="0"/>
                                              <w:marBottom w:val="0"/>
                                              <w:divBdr>
                                                <w:top w:val="none" w:sz="0" w:space="0" w:color="auto"/>
                                                <w:left w:val="none" w:sz="0" w:space="0" w:color="auto"/>
                                                <w:bottom w:val="none" w:sz="0" w:space="0" w:color="auto"/>
                                                <w:right w:val="none" w:sz="0" w:space="0" w:color="auto"/>
                                              </w:divBdr>
                                              <w:divsChild>
                                                <w:div w:id="163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144271">
      <w:bodyDiv w:val="1"/>
      <w:marLeft w:val="0"/>
      <w:marRight w:val="0"/>
      <w:marTop w:val="0"/>
      <w:marBottom w:val="0"/>
      <w:divBdr>
        <w:top w:val="none" w:sz="0" w:space="0" w:color="auto"/>
        <w:left w:val="none" w:sz="0" w:space="0" w:color="auto"/>
        <w:bottom w:val="none" w:sz="0" w:space="0" w:color="auto"/>
        <w:right w:val="none" w:sz="0" w:space="0" w:color="auto"/>
      </w:divBdr>
    </w:div>
    <w:div w:id="1803310267">
      <w:bodyDiv w:val="1"/>
      <w:marLeft w:val="0"/>
      <w:marRight w:val="0"/>
      <w:marTop w:val="0"/>
      <w:marBottom w:val="0"/>
      <w:divBdr>
        <w:top w:val="none" w:sz="0" w:space="0" w:color="auto"/>
        <w:left w:val="none" w:sz="0" w:space="0" w:color="auto"/>
        <w:bottom w:val="none" w:sz="0" w:space="0" w:color="auto"/>
        <w:right w:val="none" w:sz="0" w:space="0" w:color="auto"/>
      </w:divBdr>
      <w:divsChild>
        <w:div w:id="459424959">
          <w:marLeft w:val="0"/>
          <w:marRight w:val="0"/>
          <w:marTop w:val="0"/>
          <w:marBottom w:val="0"/>
          <w:divBdr>
            <w:top w:val="none" w:sz="0" w:space="0" w:color="auto"/>
            <w:left w:val="none" w:sz="0" w:space="0" w:color="auto"/>
            <w:bottom w:val="none" w:sz="0" w:space="0" w:color="auto"/>
            <w:right w:val="none" w:sz="0" w:space="0" w:color="auto"/>
          </w:divBdr>
          <w:divsChild>
            <w:div w:id="217713572">
              <w:marLeft w:val="0"/>
              <w:marRight w:val="0"/>
              <w:marTop w:val="0"/>
              <w:marBottom w:val="0"/>
              <w:divBdr>
                <w:top w:val="none" w:sz="0" w:space="0" w:color="auto"/>
                <w:left w:val="none" w:sz="0" w:space="0" w:color="auto"/>
                <w:bottom w:val="none" w:sz="0" w:space="0" w:color="auto"/>
                <w:right w:val="none" w:sz="0" w:space="0" w:color="auto"/>
              </w:divBdr>
              <w:divsChild>
                <w:div w:id="4599915">
                  <w:marLeft w:val="0"/>
                  <w:marRight w:val="0"/>
                  <w:marTop w:val="0"/>
                  <w:marBottom w:val="0"/>
                  <w:divBdr>
                    <w:top w:val="none" w:sz="0" w:space="0" w:color="auto"/>
                    <w:left w:val="none" w:sz="0" w:space="0" w:color="auto"/>
                    <w:bottom w:val="none" w:sz="0" w:space="0" w:color="auto"/>
                    <w:right w:val="none" w:sz="0" w:space="0" w:color="auto"/>
                  </w:divBdr>
                  <w:divsChild>
                    <w:div w:id="803040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8713835">
      <w:bodyDiv w:val="1"/>
      <w:marLeft w:val="0"/>
      <w:marRight w:val="0"/>
      <w:marTop w:val="0"/>
      <w:marBottom w:val="0"/>
      <w:divBdr>
        <w:top w:val="none" w:sz="0" w:space="0" w:color="auto"/>
        <w:left w:val="none" w:sz="0" w:space="0" w:color="auto"/>
        <w:bottom w:val="none" w:sz="0" w:space="0" w:color="auto"/>
        <w:right w:val="none" w:sz="0" w:space="0" w:color="auto"/>
      </w:divBdr>
      <w:divsChild>
        <w:div w:id="689530361">
          <w:marLeft w:val="446"/>
          <w:marRight w:val="0"/>
          <w:marTop w:val="0"/>
          <w:marBottom w:val="120"/>
          <w:divBdr>
            <w:top w:val="none" w:sz="0" w:space="0" w:color="auto"/>
            <w:left w:val="none" w:sz="0" w:space="0" w:color="auto"/>
            <w:bottom w:val="none" w:sz="0" w:space="0" w:color="auto"/>
            <w:right w:val="none" w:sz="0" w:space="0" w:color="auto"/>
          </w:divBdr>
        </w:div>
        <w:div w:id="1743406471">
          <w:marLeft w:val="446"/>
          <w:marRight w:val="0"/>
          <w:marTop w:val="0"/>
          <w:marBottom w:val="120"/>
          <w:divBdr>
            <w:top w:val="none" w:sz="0" w:space="0" w:color="auto"/>
            <w:left w:val="none" w:sz="0" w:space="0" w:color="auto"/>
            <w:bottom w:val="none" w:sz="0" w:space="0" w:color="auto"/>
            <w:right w:val="none" w:sz="0" w:space="0" w:color="auto"/>
          </w:divBdr>
        </w:div>
        <w:div w:id="1112286635">
          <w:marLeft w:val="446"/>
          <w:marRight w:val="0"/>
          <w:marTop w:val="0"/>
          <w:marBottom w:val="120"/>
          <w:divBdr>
            <w:top w:val="none" w:sz="0" w:space="0" w:color="auto"/>
            <w:left w:val="none" w:sz="0" w:space="0" w:color="auto"/>
            <w:bottom w:val="none" w:sz="0" w:space="0" w:color="auto"/>
            <w:right w:val="none" w:sz="0" w:space="0" w:color="auto"/>
          </w:divBdr>
        </w:div>
        <w:div w:id="1744136129">
          <w:marLeft w:val="446"/>
          <w:marRight w:val="0"/>
          <w:marTop w:val="0"/>
          <w:marBottom w:val="120"/>
          <w:divBdr>
            <w:top w:val="none" w:sz="0" w:space="0" w:color="auto"/>
            <w:left w:val="none" w:sz="0" w:space="0" w:color="auto"/>
            <w:bottom w:val="none" w:sz="0" w:space="0" w:color="auto"/>
            <w:right w:val="none" w:sz="0" w:space="0" w:color="auto"/>
          </w:divBdr>
        </w:div>
        <w:div w:id="280113415">
          <w:marLeft w:val="446"/>
          <w:marRight w:val="0"/>
          <w:marTop w:val="0"/>
          <w:marBottom w:val="120"/>
          <w:divBdr>
            <w:top w:val="none" w:sz="0" w:space="0" w:color="auto"/>
            <w:left w:val="none" w:sz="0" w:space="0" w:color="auto"/>
            <w:bottom w:val="none" w:sz="0" w:space="0" w:color="auto"/>
            <w:right w:val="none" w:sz="0" w:space="0" w:color="auto"/>
          </w:divBdr>
        </w:div>
      </w:divsChild>
    </w:div>
    <w:div w:id="2059741965">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www.blood.gov.au/pbm-guidelines%20" TargetMode="External"/><Relationship Id="rId21" Type="http://schemas.openxmlformats.org/officeDocument/2006/relationships/image" Target="media/image9.png"/><Relationship Id="rId34" Type="http://schemas.openxmlformats.org/officeDocument/2006/relationships/hyperlink" Target="http://www.safetyandquality.gov.au/wp-content/uploads/2012/10/Standard7_Oct_2012_WEB.pdf" TargetMode="External"/><Relationship Id="rId42" Type="http://schemas.openxmlformats.org/officeDocument/2006/relationships/hyperlink" Target="http://www.safetyandquality.gov.au/wp-content/uploads/2012/10/Standard7_Oct_2012_WEB.pdf" TargetMode="External"/><Relationship Id="rId47" Type="http://schemas.openxmlformats.org/officeDocument/2006/relationships/header" Target="header2.xml"/><Relationship Id="rId50" Type="http://schemas.openxmlformats.org/officeDocument/2006/relationships/hyperlink" Target="http://www.transfusion.com.au/sites/default/files/iTransfuse-FS-Vol4No3-I-Need-To-Know-About-Patient-Blood-Management-Published.pdf" TargetMode="External"/><Relationship Id="rId55" Type="http://schemas.openxmlformats.org/officeDocument/2006/relationships/hyperlink" Target="http://www.bcshguidelines.com/documents/BCSH_Blood_Admin_-_addendum_August_2012.pdf" TargetMode="External"/><Relationship Id="rId63" Type="http://schemas.openxmlformats.org/officeDocument/2006/relationships/hyperlink" Target="http://www.blood.gov.au/pbm-guideline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3.0/au/" TargetMode="External"/><Relationship Id="rId24" Type="http://schemas.openxmlformats.org/officeDocument/2006/relationships/image" Target="media/image12.jpeg"/><Relationship Id="rId32" Type="http://schemas.openxmlformats.org/officeDocument/2006/relationships/hyperlink" Target="http://www.blood.gov.au/pbm-guidelines%20" TargetMode="External"/><Relationship Id="rId37" Type="http://schemas.openxmlformats.org/officeDocument/2006/relationships/hyperlink" Target="http://www.safetyandquality.gov.au/wp-content/uploads/2012/10/Standard7_Oct_2012_WEB.pdf" TargetMode="External"/><Relationship Id="rId40" Type="http://schemas.openxmlformats.org/officeDocument/2006/relationships/hyperlink" Target="http://www.blood.gov.au/pbm-guidelines" TargetMode="External"/><Relationship Id="rId45" Type="http://schemas.openxmlformats.org/officeDocument/2006/relationships/hyperlink" Target="http://www.transfusion.com.au/sites/default/files/iTransfuse-FS-Vol4No9-Single-unit-red-blood-cell-transfusion-Published_0.pdf" TargetMode="External"/><Relationship Id="rId53" Type="http://schemas.openxmlformats.org/officeDocument/2006/relationships/hyperlink" Target="http://www.blood.gov.au/pbm-guidelines" TargetMode="External"/><Relationship Id="rId58" Type="http://schemas.openxmlformats.org/officeDocument/2006/relationships/hyperlink" Target="http://www.safetyandquality.gov.au/wp-content/uploads/2012/10/Standard7_Oct_2012_WEB.pdf" TargetMode="External"/><Relationship Id="rId66" Type="http://schemas.openxmlformats.org/officeDocument/2006/relationships/hyperlink" Target="http://www.bcshguidelines.com/documents/BCSH_Blood_Admin_-_addendum_August_2012.pdf%2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www.blood.gov.au/pbm-guidelines" TargetMode="External"/><Relationship Id="rId49" Type="http://schemas.openxmlformats.org/officeDocument/2006/relationships/header" Target="header3.xml"/><Relationship Id="rId57" Type="http://schemas.openxmlformats.org/officeDocument/2006/relationships/hyperlink" Target="http://www.blood.gov.au/pbm-guidelines" TargetMode="External"/><Relationship Id="rId61" Type="http://schemas.openxmlformats.org/officeDocument/2006/relationships/hyperlink" Target="http://www.transfusionguidelines.org.uk/index.aspx?Publication=BBT&amp;Section=22"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blood.gov.au/pbm-guidelines" TargetMode="External"/><Relationship Id="rId44" Type="http://schemas.openxmlformats.org/officeDocument/2006/relationships/hyperlink" Target="http://www.health.wa.gov.au/bloodmanagement/docs/Single%20Unit%20Rule.pdf" TargetMode="External"/><Relationship Id="rId52" Type="http://schemas.openxmlformats.org/officeDocument/2006/relationships/hyperlink" Target="http://www.blood.gov.au" TargetMode="External"/><Relationship Id="rId60" Type="http://schemas.openxmlformats.org/officeDocument/2006/relationships/hyperlink" Target="http://www.emmc.org/blood_management.aspx?id=36102" TargetMode="External"/><Relationship Id="rId65" Type="http://schemas.openxmlformats.org/officeDocument/2006/relationships/hyperlink" Target="http://www.safetyandquality.gov.au/wp-content/uploads/2012/10/Standard7_Oct_2012_WEB.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blood.gov.au/single-unit-transfusion" TargetMode="External"/><Relationship Id="rId30" Type="http://schemas.openxmlformats.org/officeDocument/2006/relationships/footer" Target="footer1.xml"/><Relationship Id="rId35" Type="http://schemas.openxmlformats.org/officeDocument/2006/relationships/footer" Target="footer2.xml"/><Relationship Id="rId43" Type="http://schemas.openxmlformats.org/officeDocument/2006/relationships/hyperlink" Target="http://www.bcshguidelines.com/documents/BCSH_Blood_Admin_-_addendum_August_2012.pdf" TargetMode="External"/><Relationship Id="rId48" Type="http://schemas.openxmlformats.org/officeDocument/2006/relationships/footer" Target="footer3.xml"/><Relationship Id="rId56" Type="http://schemas.openxmlformats.org/officeDocument/2006/relationships/hyperlink" Target="http://www.health.wa.gov.au/bloodmanagement/docs/Single%20Unit%20Rule.pdf" TargetMode="External"/><Relationship Id="rId64" Type="http://schemas.openxmlformats.org/officeDocument/2006/relationships/hyperlink" Target="http://www.blood.gov.au/pbm-guidelines"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lood.gov.au/sites/default/files/documents/pbm-module1-mtp-template_0.ppt" TargetMode="External"/><Relationship Id="rId3" Type="http://schemas.openxmlformats.org/officeDocument/2006/relationships/styles" Target="styles.xml"/><Relationship Id="rId12" Type="http://schemas.openxmlformats.org/officeDocument/2006/relationships/hyperlink" Target="mailto:patientbloodmanagement@.blood.gov.au" TargetMode="External"/><Relationship Id="rId17" Type="http://schemas.openxmlformats.org/officeDocument/2006/relationships/hyperlink" Target="http://www.blood.gov.au/pbm-module-4" TargetMode="External"/><Relationship Id="rId25" Type="http://schemas.openxmlformats.org/officeDocument/2006/relationships/hyperlink" Target="http://www.safetyandquality.gov.au/wp-content/uploads/2012/10/Standard7_Oct_2012_WEB.pdf" TargetMode="External"/><Relationship Id="rId33" Type="http://schemas.openxmlformats.org/officeDocument/2006/relationships/hyperlink" Target="http://www.blood.gov.au/pbm-guidelines" TargetMode="External"/><Relationship Id="rId38" Type="http://schemas.openxmlformats.org/officeDocument/2006/relationships/hyperlink" Target="http://www.safetyandquality.gov.au/wp-content/uploads/2012/10/Standard7_Oct_2012_WEB.pdf" TargetMode="External"/><Relationship Id="rId46" Type="http://schemas.openxmlformats.org/officeDocument/2006/relationships/header" Target="header1.xml"/><Relationship Id="rId59" Type="http://schemas.openxmlformats.org/officeDocument/2006/relationships/hyperlink" Target="http://www.stmichaelshospital.com/media/detail.php?source=hospital_news/2012/20120913a_hn" TargetMode="External"/><Relationship Id="rId67" Type="http://schemas.openxmlformats.org/officeDocument/2006/relationships/image" Target="media/image16.jpg"/><Relationship Id="rId20" Type="http://schemas.openxmlformats.org/officeDocument/2006/relationships/image" Target="media/image8.png"/><Relationship Id="rId41" Type="http://schemas.openxmlformats.org/officeDocument/2006/relationships/hyperlink" Target="http://www.blood.gov.au/pbm-guidelines" TargetMode="External"/><Relationship Id="rId54" Type="http://schemas.openxmlformats.org/officeDocument/2006/relationships/hyperlink" Target="http://www.who.int/bloodsafety/BTS_Resolutionsadopted.pdf" TargetMode="External"/><Relationship Id="rId62" Type="http://schemas.openxmlformats.org/officeDocument/2006/relationships/hyperlink" Target="http://www.blood.gov.au/pbm-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30637-22EB-4761-8A7B-E2ECAD64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F254D175.dotm</Template>
  <TotalTime>842</TotalTime>
  <Pages>1</Pages>
  <Words>28762</Words>
  <Characters>163950</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192328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Ian</dc:creator>
  <cp:lastModifiedBy>Sandra Russell</cp:lastModifiedBy>
  <cp:revision>6</cp:revision>
  <cp:lastPrinted>2014-06-13T03:41:00Z</cp:lastPrinted>
  <dcterms:created xsi:type="dcterms:W3CDTF">2014-06-11T00:54:00Z</dcterms:created>
  <dcterms:modified xsi:type="dcterms:W3CDTF">2014-06-13T04:23:00Z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Lyndsay.Wall@blood.gov.au@www.mendeley.com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ies>
</file>