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DF083" w14:textId="77777777" w:rsidR="006B488C" w:rsidRDefault="006B488C" w:rsidP="006B488C">
      <w:pPr>
        <w:pStyle w:val="Heading3"/>
      </w:pPr>
      <w:r>
        <w:t>Specialist Working Group for Solid Organ Transplantation</w:t>
      </w:r>
    </w:p>
    <w:p w14:paraId="2B9E677F" w14:textId="0D2C191B" w:rsidR="006B488C" w:rsidRDefault="006B488C">
      <w:r w:rsidRPr="006B488C">
        <w:rPr>
          <w:b/>
          <w:i/>
        </w:rPr>
        <w:t>Proposed changes to the Criteria for the clinical use of intravenous immunoglobulin in Australia</w:t>
      </w:r>
    </w:p>
    <w:tbl>
      <w:tblPr>
        <w:tblStyle w:val="TableGrid"/>
        <w:tblW w:w="14283" w:type="dxa"/>
        <w:tblLayout w:type="fixed"/>
        <w:tblLook w:val="0680" w:firstRow="0" w:lastRow="0" w:firstColumn="1" w:lastColumn="0" w:noHBand="1" w:noVBand="1"/>
      </w:tblPr>
      <w:tblGrid>
        <w:gridCol w:w="1242"/>
        <w:gridCol w:w="4253"/>
        <w:gridCol w:w="992"/>
        <w:gridCol w:w="1559"/>
        <w:gridCol w:w="2127"/>
        <w:gridCol w:w="4110"/>
      </w:tblGrid>
      <w:tr w:rsidR="009E7EA5" w:rsidRPr="00507D71" w14:paraId="120498BF" w14:textId="77777777" w:rsidTr="00784EBB">
        <w:trPr>
          <w:cantSplit/>
        </w:trPr>
        <w:tc>
          <w:tcPr>
            <w:tcW w:w="1242" w:type="dxa"/>
            <w:shd w:val="clear" w:color="auto" w:fill="DBE5F1" w:themeFill="accent1" w:themeFillTint="33"/>
          </w:tcPr>
          <w:p w14:paraId="4D26405D" w14:textId="7F4F989B" w:rsidR="009E7EA5" w:rsidRPr="00507D71" w:rsidRDefault="009E7EA5" w:rsidP="00066C31">
            <w:pPr>
              <w:spacing w:before="120" w:after="120"/>
              <w:rPr>
                <w:rFonts w:asciiTheme="minorHAnsi" w:hAnsiTheme="minorHAnsi"/>
                <w:b/>
                <w:sz w:val="24"/>
                <w:szCs w:val="24"/>
              </w:rPr>
            </w:pPr>
            <w:r w:rsidRPr="00507D71">
              <w:rPr>
                <w:rFonts w:asciiTheme="minorHAnsi" w:hAnsiTheme="minorHAnsi"/>
                <w:b/>
                <w:sz w:val="24"/>
                <w:szCs w:val="24"/>
              </w:rPr>
              <w:t>ITEM</w:t>
            </w:r>
          </w:p>
        </w:tc>
        <w:tc>
          <w:tcPr>
            <w:tcW w:w="4253" w:type="dxa"/>
            <w:shd w:val="clear" w:color="auto" w:fill="DBE5F1" w:themeFill="accent1" w:themeFillTint="33"/>
          </w:tcPr>
          <w:p w14:paraId="4F7FFC23" w14:textId="77777777" w:rsidR="009E7EA5" w:rsidRPr="00507D71" w:rsidRDefault="009E7EA5" w:rsidP="00066C31">
            <w:pPr>
              <w:spacing w:before="120" w:after="120"/>
              <w:rPr>
                <w:rFonts w:asciiTheme="minorHAnsi" w:hAnsiTheme="minorHAnsi"/>
                <w:b/>
                <w:sz w:val="24"/>
                <w:szCs w:val="24"/>
              </w:rPr>
            </w:pPr>
            <w:r w:rsidRPr="00507D71">
              <w:rPr>
                <w:rFonts w:asciiTheme="minorHAnsi" w:hAnsiTheme="minorHAnsi"/>
                <w:b/>
                <w:sz w:val="24"/>
                <w:szCs w:val="24"/>
              </w:rPr>
              <w:t>CRITERIA V 2</w:t>
            </w:r>
          </w:p>
        </w:tc>
        <w:tc>
          <w:tcPr>
            <w:tcW w:w="4678" w:type="dxa"/>
            <w:gridSpan w:val="3"/>
            <w:shd w:val="clear" w:color="auto" w:fill="DBE5F1" w:themeFill="accent1" w:themeFillTint="33"/>
          </w:tcPr>
          <w:p w14:paraId="7BF8A812" w14:textId="77777777" w:rsidR="009E7EA5" w:rsidRPr="00507D71" w:rsidRDefault="009E7EA5" w:rsidP="00066C31">
            <w:pPr>
              <w:spacing w:before="120" w:after="120"/>
              <w:rPr>
                <w:rFonts w:asciiTheme="minorHAnsi" w:hAnsiTheme="minorHAnsi"/>
                <w:b/>
                <w:sz w:val="24"/>
                <w:szCs w:val="24"/>
              </w:rPr>
            </w:pPr>
            <w:r w:rsidRPr="00507D71">
              <w:rPr>
                <w:rFonts w:asciiTheme="minorHAnsi" w:hAnsiTheme="minorHAnsi"/>
                <w:b/>
                <w:sz w:val="24"/>
                <w:szCs w:val="24"/>
              </w:rPr>
              <w:t>PROPOSED REVISIONS TO THE CRITERIA (INLCUDING ADAPTATION TO THE IG SYSTEM)</w:t>
            </w:r>
          </w:p>
        </w:tc>
        <w:tc>
          <w:tcPr>
            <w:tcW w:w="4110" w:type="dxa"/>
            <w:shd w:val="clear" w:color="auto" w:fill="DBE5F1" w:themeFill="accent1" w:themeFillTint="33"/>
          </w:tcPr>
          <w:p w14:paraId="0D54C72F" w14:textId="77777777" w:rsidR="009E7EA5" w:rsidRPr="00507D71" w:rsidRDefault="009E7EA5" w:rsidP="00066C31">
            <w:pPr>
              <w:spacing w:before="120" w:after="120"/>
              <w:rPr>
                <w:rFonts w:asciiTheme="minorHAnsi" w:eastAsia="Times New Roman" w:hAnsiTheme="minorHAnsi" w:cstheme="minorHAnsi"/>
                <w:b/>
                <w:color w:val="000000"/>
                <w:sz w:val="24"/>
                <w:szCs w:val="24"/>
                <w:lang w:eastAsia="en-AU"/>
              </w:rPr>
            </w:pPr>
            <w:r w:rsidRPr="00507D71">
              <w:rPr>
                <w:rFonts w:asciiTheme="minorHAnsi" w:eastAsia="Times New Roman" w:hAnsiTheme="minorHAnsi" w:cstheme="minorHAnsi"/>
                <w:b/>
                <w:color w:val="000000"/>
                <w:sz w:val="24"/>
                <w:szCs w:val="24"/>
                <w:lang w:eastAsia="en-AU"/>
              </w:rPr>
              <w:t xml:space="preserve">SWG CHANGES AND RATIONALE </w:t>
            </w:r>
          </w:p>
          <w:p w14:paraId="086A074E" w14:textId="77777777" w:rsidR="009E7EA5" w:rsidRPr="00507D71" w:rsidRDefault="009E7EA5" w:rsidP="00066C31">
            <w:pPr>
              <w:spacing w:before="120" w:after="120"/>
              <w:rPr>
                <w:rFonts w:asciiTheme="minorHAnsi" w:eastAsia="Times New Roman" w:hAnsiTheme="minorHAnsi" w:cstheme="minorHAnsi"/>
                <w:b/>
                <w:color w:val="000000"/>
                <w:sz w:val="24"/>
                <w:szCs w:val="24"/>
                <w:lang w:eastAsia="en-AU"/>
              </w:rPr>
            </w:pPr>
            <w:r w:rsidRPr="00507D71">
              <w:rPr>
                <w:rFonts w:asciiTheme="minorHAnsi" w:hAnsiTheme="minorHAnsi"/>
                <w:b/>
                <w:sz w:val="24"/>
                <w:szCs w:val="24"/>
              </w:rPr>
              <w:t>(A) Administrative) (B) Progressive (C) Programmed</w:t>
            </w:r>
          </w:p>
        </w:tc>
      </w:tr>
      <w:tr w:rsidR="009E7EA5" w:rsidRPr="00507D71" w14:paraId="038C76E4" w14:textId="77777777" w:rsidTr="00784EBB">
        <w:tc>
          <w:tcPr>
            <w:tcW w:w="1242" w:type="dxa"/>
            <w:shd w:val="clear" w:color="auto" w:fill="D9D9D9" w:themeFill="background1" w:themeFillShade="D9"/>
          </w:tcPr>
          <w:p w14:paraId="5564816C"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Condition Name</w:t>
            </w:r>
          </w:p>
        </w:tc>
        <w:tc>
          <w:tcPr>
            <w:tcW w:w="4253" w:type="dxa"/>
          </w:tcPr>
          <w:p w14:paraId="1028FFF9" w14:textId="77777777" w:rsidR="000B0EC9" w:rsidRPr="00507D71" w:rsidRDefault="000B0EC9" w:rsidP="00066C31">
            <w:pPr>
              <w:rPr>
                <w:rFonts w:asciiTheme="minorHAnsi" w:hAnsiTheme="minorHAnsi"/>
                <w:b/>
                <w:i/>
                <w:iCs/>
                <w:color w:val="243F60" w:themeColor="accent1" w:themeShade="7F"/>
                <w:sz w:val="24"/>
                <w:szCs w:val="24"/>
              </w:rPr>
            </w:pPr>
            <w:r w:rsidRPr="00507D71">
              <w:rPr>
                <w:rFonts w:asciiTheme="minorHAnsi" w:hAnsiTheme="minorHAnsi"/>
                <w:b/>
                <w:bCs/>
                <w:sz w:val="24"/>
                <w:szCs w:val="24"/>
              </w:rPr>
              <w:t>Solid Organ transplantation</w:t>
            </w:r>
            <w:r w:rsidRPr="00507D71">
              <w:rPr>
                <w:rFonts w:asciiTheme="minorHAnsi" w:eastAsia="Times New Roman" w:hAnsiTheme="minorHAnsi" w:cs="Times New Roman"/>
                <w:b/>
                <w:bCs/>
                <w:sz w:val="24"/>
                <w:szCs w:val="24"/>
                <w:lang w:eastAsia="en-AU"/>
              </w:rPr>
              <w:t xml:space="preserve"> (Other than Kidney)</w:t>
            </w:r>
          </w:p>
          <w:p w14:paraId="0BC5E241" w14:textId="77777777" w:rsidR="009E7EA5" w:rsidRPr="00507D71" w:rsidRDefault="009E7EA5" w:rsidP="00066C31">
            <w:pPr>
              <w:rPr>
                <w:rFonts w:asciiTheme="minorHAnsi" w:hAnsiTheme="minorHAnsi"/>
                <w:sz w:val="24"/>
                <w:szCs w:val="24"/>
              </w:rPr>
            </w:pPr>
          </w:p>
        </w:tc>
        <w:tc>
          <w:tcPr>
            <w:tcW w:w="4678" w:type="dxa"/>
            <w:gridSpan w:val="3"/>
          </w:tcPr>
          <w:p w14:paraId="41859F2C" w14:textId="2A0F2EB4" w:rsidR="009E7EA5" w:rsidRPr="00507D71" w:rsidRDefault="00DA1AB9" w:rsidP="00066C31">
            <w:pPr>
              <w:rPr>
                <w:rFonts w:asciiTheme="minorHAnsi" w:hAnsiTheme="minorHAnsi"/>
                <w:b/>
                <w:i/>
                <w:iCs/>
                <w:color w:val="243F60" w:themeColor="accent1" w:themeShade="7F"/>
                <w:sz w:val="24"/>
                <w:szCs w:val="24"/>
              </w:rPr>
            </w:pPr>
            <w:r>
              <w:rPr>
                <w:rFonts w:asciiTheme="minorHAnsi" w:hAnsiTheme="minorHAnsi"/>
                <w:b/>
                <w:bCs/>
                <w:sz w:val="24"/>
                <w:szCs w:val="24"/>
              </w:rPr>
              <w:t>Solid o</w:t>
            </w:r>
            <w:r w:rsidR="009E7EA5" w:rsidRPr="00507D71">
              <w:rPr>
                <w:rFonts w:asciiTheme="minorHAnsi" w:hAnsiTheme="minorHAnsi"/>
                <w:b/>
                <w:bCs/>
                <w:sz w:val="24"/>
                <w:szCs w:val="24"/>
              </w:rPr>
              <w:t>rgan transplantation</w:t>
            </w:r>
            <w:r w:rsidR="009E7EA5" w:rsidRPr="00507D71">
              <w:rPr>
                <w:rFonts w:asciiTheme="minorHAnsi" w:eastAsia="Times New Roman" w:hAnsiTheme="minorHAnsi" w:cs="Times New Roman"/>
                <w:b/>
                <w:bCs/>
                <w:sz w:val="24"/>
                <w:szCs w:val="24"/>
                <w:lang w:eastAsia="en-AU"/>
              </w:rPr>
              <w:t xml:space="preserve"> (</w:t>
            </w:r>
            <w:r>
              <w:rPr>
                <w:rFonts w:asciiTheme="minorHAnsi" w:eastAsia="Times New Roman" w:hAnsiTheme="minorHAnsi" w:cs="Times New Roman"/>
                <w:b/>
                <w:bCs/>
                <w:sz w:val="24"/>
                <w:szCs w:val="24"/>
                <w:lang w:eastAsia="en-AU"/>
              </w:rPr>
              <w:t>o</w:t>
            </w:r>
            <w:r w:rsidR="009E7EA5" w:rsidRPr="00507D71">
              <w:rPr>
                <w:rFonts w:asciiTheme="minorHAnsi" w:eastAsia="Times New Roman" w:hAnsiTheme="minorHAnsi" w:cs="Times New Roman"/>
                <w:b/>
                <w:bCs/>
                <w:sz w:val="24"/>
                <w:szCs w:val="24"/>
                <w:lang w:eastAsia="en-AU"/>
              </w:rPr>
              <w:t xml:space="preserve">ther than </w:t>
            </w:r>
            <w:r>
              <w:rPr>
                <w:rFonts w:asciiTheme="minorHAnsi" w:eastAsia="Times New Roman" w:hAnsiTheme="minorHAnsi" w:cs="Times New Roman"/>
                <w:b/>
                <w:bCs/>
                <w:sz w:val="24"/>
                <w:szCs w:val="24"/>
                <w:lang w:eastAsia="en-AU"/>
              </w:rPr>
              <w:t>k</w:t>
            </w:r>
            <w:r w:rsidR="009E7EA5" w:rsidRPr="00507D71">
              <w:rPr>
                <w:rFonts w:asciiTheme="minorHAnsi" w:eastAsia="Times New Roman" w:hAnsiTheme="minorHAnsi" w:cs="Times New Roman"/>
                <w:b/>
                <w:bCs/>
                <w:sz w:val="24"/>
                <w:szCs w:val="24"/>
                <w:lang w:eastAsia="en-AU"/>
              </w:rPr>
              <w:t>idney)</w:t>
            </w:r>
            <w:bookmarkStart w:id="0" w:name="_GoBack"/>
            <w:bookmarkEnd w:id="0"/>
          </w:p>
          <w:p w14:paraId="3E38205E" w14:textId="77777777" w:rsidR="009E7EA5" w:rsidRPr="00507D71" w:rsidRDefault="009E7EA5" w:rsidP="00066C31">
            <w:pPr>
              <w:rPr>
                <w:rFonts w:asciiTheme="minorHAnsi" w:hAnsiTheme="minorHAnsi"/>
                <w:sz w:val="24"/>
                <w:szCs w:val="24"/>
              </w:rPr>
            </w:pPr>
          </w:p>
        </w:tc>
        <w:tc>
          <w:tcPr>
            <w:tcW w:w="4110" w:type="dxa"/>
          </w:tcPr>
          <w:p w14:paraId="0A3E97A2" w14:textId="244D9ED3" w:rsidR="009E7EA5" w:rsidRPr="00507D71" w:rsidRDefault="009E7EA5" w:rsidP="00066C31">
            <w:pPr>
              <w:rPr>
                <w:rFonts w:asciiTheme="minorHAnsi" w:hAnsiTheme="minorHAnsi"/>
                <w:sz w:val="24"/>
                <w:szCs w:val="24"/>
              </w:rPr>
            </w:pPr>
            <w:r>
              <w:rPr>
                <w:rFonts w:asciiTheme="minorHAnsi" w:hAnsiTheme="minorHAnsi"/>
                <w:sz w:val="24"/>
                <w:szCs w:val="24"/>
              </w:rPr>
              <w:t xml:space="preserve">While usage is quite low (&lt;1%), it is </w:t>
            </w:r>
            <w:r w:rsidR="0080035A">
              <w:rPr>
                <w:rFonts w:asciiTheme="minorHAnsi" w:hAnsiTheme="minorHAnsi"/>
                <w:sz w:val="24"/>
                <w:szCs w:val="24"/>
              </w:rPr>
              <w:t>recognised</w:t>
            </w:r>
            <w:r>
              <w:rPr>
                <w:rFonts w:asciiTheme="minorHAnsi" w:hAnsiTheme="minorHAnsi"/>
                <w:sz w:val="24"/>
                <w:szCs w:val="24"/>
              </w:rPr>
              <w:t xml:space="preserve"> to be increasing</w:t>
            </w:r>
            <w:r w:rsidR="0080035A">
              <w:rPr>
                <w:rFonts w:asciiTheme="minorHAnsi" w:hAnsiTheme="minorHAnsi"/>
                <w:sz w:val="24"/>
                <w:szCs w:val="24"/>
              </w:rPr>
              <w:t xml:space="preserve"> each year</w:t>
            </w:r>
            <w:r>
              <w:rPr>
                <w:rFonts w:asciiTheme="minorHAnsi" w:hAnsiTheme="minorHAnsi"/>
                <w:sz w:val="24"/>
                <w:szCs w:val="24"/>
              </w:rPr>
              <w:t>, in line with the increased number of organ transplants becoming available and the increased complexity of transplants now being undertaken (as for kidney transplantation). Given that this is an evolving clinical area, it is recommended that a controlled decision path be used for eligibility criteria so that data will be available for analysis and usage is controlled within the same parameters being used for kidney transplantation</w:t>
            </w:r>
            <w:r w:rsidR="0080035A">
              <w:rPr>
                <w:rFonts w:asciiTheme="minorHAnsi" w:hAnsiTheme="minorHAnsi"/>
                <w:sz w:val="24"/>
                <w:szCs w:val="24"/>
              </w:rPr>
              <w:t xml:space="preserve"> which is consistent with current clinical practice</w:t>
            </w:r>
            <w:r>
              <w:rPr>
                <w:rFonts w:asciiTheme="minorHAnsi" w:hAnsiTheme="minorHAnsi"/>
                <w:sz w:val="24"/>
                <w:szCs w:val="24"/>
              </w:rPr>
              <w:t xml:space="preserve">.  </w:t>
            </w:r>
          </w:p>
        </w:tc>
      </w:tr>
      <w:tr w:rsidR="009E7EA5" w:rsidRPr="00507D71" w14:paraId="7113C15B" w14:textId="77777777" w:rsidTr="00784EBB">
        <w:tc>
          <w:tcPr>
            <w:tcW w:w="1242" w:type="dxa"/>
            <w:shd w:val="clear" w:color="auto" w:fill="D9D9D9" w:themeFill="background1" w:themeFillShade="D9"/>
          </w:tcPr>
          <w:p w14:paraId="03A27253"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Specialty</w:t>
            </w:r>
          </w:p>
        </w:tc>
        <w:tc>
          <w:tcPr>
            <w:tcW w:w="4253" w:type="dxa"/>
          </w:tcPr>
          <w:p w14:paraId="0A089786"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Transplantation</w:t>
            </w:r>
          </w:p>
        </w:tc>
        <w:tc>
          <w:tcPr>
            <w:tcW w:w="4678" w:type="dxa"/>
            <w:gridSpan w:val="3"/>
          </w:tcPr>
          <w:p w14:paraId="06A99A18"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Transplantation</w:t>
            </w:r>
          </w:p>
        </w:tc>
        <w:tc>
          <w:tcPr>
            <w:tcW w:w="4110" w:type="dxa"/>
          </w:tcPr>
          <w:p w14:paraId="338936DA" w14:textId="77777777" w:rsidR="009E7EA5" w:rsidRPr="00507D71" w:rsidRDefault="009E7EA5" w:rsidP="00066C31">
            <w:pPr>
              <w:rPr>
                <w:rFonts w:asciiTheme="minorHAnsi" w:hAnsiTheme="minorHAnsi"/>
                <w:sz w:val="24"/>
                <w:szCs w:val="24"/>
              </w:rPr>
            </w:pPr>
          </w:p>
        </w:tc>
      </w:tr>
      <w:tr w:rsidR="009E7EA5" w:rsidRPr="00507D71" w14:paraId="620F0F89" w14:textId="77777777" w:rsidTr="00784EBB">
        <w:tc>
          <w:tcPr>
            <w:tcW w:w="1242" w:type="dxa"/>
            <w:shd w:val="clear" w:color="auto" w:fill="D9D9D9" w:themeFill="background1" w:themeFillShade="D9"/>
          </w:tcPr>
          <w:p w14:paraId="3A817CCC"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Chapter</w:t>
            </w:r>
          </w:p>
        </w:tc>
        <w:tc>
          <w:tcPr>
            <w:tcW w:w="4253" w:type="dxa"/>
          </w:tcPr>
          <w:p w14:paraId="149D6273"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7</w:t>
            </w:r>
          </w:p>
        </w:tc>
        <w:tc>
          <w:tcPr>
            <w:tcW w:w="4678" w:type="dxa"/>
            <w:gridSpan w:val="3"/>
          </w:tcPr>
          <w:p w14:paraId="74D68787"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6</w:t>
            </w:r>
          </w:p>
        </w:tc>
        <w:tc>
          <w:tcPr>
            <w:tcW w:w="4110" w:type="dxa"/>
          </w:tcPr>
          <w:p w14:paraId="651A3742" w14:textId="2D16142D" w:rsidR="009E7EA5" w:rsidRPr="00507D71" w:rsidRDefault="009E7EA5" w:rsidP="00066C31">
            <w:pPr>
              <w:rPr>
                <w:rFonts w:asciiTheme="minorHAnsi" w:hAnsiTheme="minorHAnsi"/>
                <w:sz w:val="24"/>
                <w:szCs w:val="24"/>
              </w:rPr>
            </w:pPr>
            <w:r>
              <w:rPr>
                <w:rFonts w:asciiTheme="minorHAnsi" w:hAnsiTheme="minorHAnsi"/>
                <w:sz w:val="24"/>
                <w:szCs w:val="24"/>
              </w:rPr>
              <w:t>Recommendation to change ‘chapter’ is due to the desire to use a more structured approach to qualifying criteria.</w:t>
            </w:r>
            <w:r w:rsidR="0078263B">
              <w:rPr>
                <w:rFonts w:asciiTheme="minorHAnsi" w:hAnsiTheme="minorHAnsi"/>
                <w:sz w:val="24"/>
                <w:szCs w:val="24"/>
              </w:rPr>
              <w:t xml:space="preserve"> </w:t>
            </w:r>
            <w:r>
              <w:rPr>
                <w:rFonts w:asciiTheme="minorHAnsi" w:hAnsiTheme="minorHAnsi"/>
                <w:sz w:val="24"/>
                <w:szCs w:val="24"/>
              </w:rPr>
              <w:t>(A)</w:t>
            </w:r>
          </w:p>
        </w:tc>
      </w:tr>
      <w:tr w:rsidR="009E7EA5" w:rsidRPr="00507D71" w14:paraId="2603233F" w14:textId="77777777" w:rsidTr="00784EBB">
        <w:tc>
          <w:tcPr>
            <w:tcW w:w="1242" w:type="dxa"/>
            <w:shd w:val="clear" w:color="auto" w:fill="D9D9D9" w:themeFill="background1" w:themeFillShade="D9"/>
          </w:tcPr>
          <w:p w14:paraId="76D3D368"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Specific Conditions</w:t>
            </w:r>
          </w:p>
          <w:p w14:paraId="3762386A" w14:textId="194B7684" w:rsidR="009E7EA5" w:rsidRPr="00507D71" w:rsidRDefault="009E7EA5" w:rsidP="00066C31">
            <w:pPr>
              <w:rPr>
                <w:rFonts w:asciiTheme="minorHAnsi" w:hAnsiTheme="minorHAnsi"/>
                <w:sz w:val="24"/>
                <w:szCs w:val="24"/>
              </w:rPr>
            </w:pPr>
            <w:r>
              <w:rPr>
                <w:rFonts w:asciiTheme="minorHAnsi" w:hAnsiTheme="minorHAnsi"/>
                <w:sz w:val="24"/>
                <w:szCs w:val="24"/>
              </w:rPr>
              <w:lastRenderedPageBreak/>
              <w:t xml:space="preserve"> </w:t>
            </w:r>
          </w:p>
          <w:p w14:paraId="4E1B0942" w14:textId="77777777" w:rsidR="009E7EA5" w:rsidRPr="00507D71" w:rsidRDefault="009E7EA5" w:rsidP="00066C31">
            <w:pPr>
              <w:rPr>
                <w:rFonts w:asciiTheme="minorHAnsi" w:hAnsiTheme="minorHAnsi"/>
                <w:sz w:val="24"/>
                <w:szCs w:val="24"/>
              </w:rPr>
            </w:pPr>
          </w:p>
        </w:tc>
        <w:tc>
          <w:tcPr>
            <w:tcW w:w="4253" w:type="dxa"/>
          </w:tcPr>
          <w:p w14:paraId="7E3EFF24" w14:textId="77777777" w:rsidR="009E7EA5" w:rsidRPr="00507D71" w:rsidRDefault="009E7EA5" w:rsidP="00066C31">
            <w:pPr>
              <w:rPr>
                <w:rFonts w:asciiTheme="minorHAnsi" w:hAnsiTheme="minorHAnsi"/>
                <w:sz w:val="24"/>
                <w:szCs w:val="24"/>
              </w:rPr>
            </w:pPr>
          </w:p>
        </w:tc>
        <w:tc>
          <w:tcPr>
            <w:tcW w:w="4678" w:type="dxa"/>
            <w:gridSpan w:val="3"/>
          </w:tcPr>
          <w:p w14:paraId="51CF03EF" w14:textId="77777777" w:rsidR="009E7EA5" w:rsidRPr="009E7EA5" w:rsidRDefault="009E7EA5" w:rsidP="00066C31">
            <w:pPr>
              <w:pStyle w:val="ListParagraph"/>
              <w:numPr>
                <w:ilvl w:val="0"/>
                <w:numId w:val="39"/>
              </w:numPr>
              <w:rPr>
                <w:rFonts w:asciiTheme="minorHAnsi" w:hAnsiTheme="minorHAnsi"/>
                <w:sz w:val="24"/>
                <w:szCs w:val="24"/>
              </w:rPr>
            </w:pPr>
            <w:r w:rsidRPr="009E7EA5">
              <w:rPr>
                <w:rFonts w:asciiTheme="minorHAnsi" w:hAnsiTheme="minorHAnsi"/>
                <w:sz w:val="24"/>
                <w:szCs w:val="24"/>
              </w:rPr>
              <w:t xml:space="preserve">Heart </w:t>
            </w:r>
          </w:p>
          <w:p w14:paraId="0DD6CB68" w14:textId="77777777" w:rsidR="009E7EA5" w:rsidRPr="009E7EA5" w:rsidRDefault="009E7EA5" w:rsidP="00066C31">
            <w:pPr>
              <w:pStyle w:val="ListParagraph"/>
              <w:numPr>
                <w:ilvl w:val="0"/>
                <w:numId w:val="39"/>
              </w:numPr>
              <w:rPr>
                <w:rFonts w:asciiTheme="minorHAnsi" w:hAnsiTheme="minorHAnsi"/>
                <w:sz w:val="24"/>
                <w:szCs w:val="24"/>
              </w:rPr>
            </w:pPr>
            <w:r w:rsidRPr="009E7EA5">
              <w:rPr>
                <w:rFonts w:asciiTheme="minorHAnsi" w:hAnsiTheme="minorHAnsi"/>
                <w:sz w:val="24"/>
                <w:szCs w:val="24"/>
              </w:rPr>
              <w:t xml:space="preserve">Lung </w:t>
            </w:r>
          </w:p>
          <w:p w14:paraId="0446179F" w14:textId="77777777" w:rsidR="009E7EA5" w:rsidRPr="009E7EA5" w:rsidRDefault="009E7EA5" w:rsidP="00066C31">
            <w:pPr>
              <w:pStyle w:val="ListParagraph"/>
              <w:numPr>
                <w:ilvl w:val="0"/>
                <w:numId w:val="39"/>
              </w:numPr>
              <w:rPr>
                <w:rFonts w:asciiTheme="minorHAnsi" w:hAnsiTheme="minorHAnsi"/>
                <w:sz w:val="24"/>
                <w:szCs w:val="24"/>
              </w:rPr>
            </w:pPr>
            <w:r w:rsidRPr="009E7EA5">
              <w:rPr>
                <w:rFonts w:asciiTheme="minorHAnsi" w:hAnsiTheme="minorHAnsi"/>
                <w:sz w:val="24"/>
                <w:szCs w:val="24"/>
              </w:rPr>
              <w:t>Heart &amp; Lung</w:t>
            </w:r>
          </w:p>
          <w:p w14:paraId="1004E324" w14:textId="77777777" w:rsidR="009E7EA5" w:rsidRPr="009E7EA5" w:rsidRDefault="009E7EA5" w:rsidP="00066C31">
            <w:pPr>
              <w:pStyle w:val="ListParagraph"/>
              <w:numPr>
                <w:ilvl w:val="0"/>
                <w:numId w:val="39"/>
              </w:numPr>
              <w:rPr>
                <w:rFonts w:asciiTheme="minorHAnsi" w:hAnsiTheme="minorHAnsi"/>
                <w:sz w:val="24"/>
                <w:szCs w:val="24"/>
              </w:rPr>
            </w:pPr>
            <w:r w:rsidRPr="009E7EA5">
              <w:rPr>
                <w:rFonts w:asciiTheme="minorHAnsi" w:hAnsiTheme="minorHAnsi"/>
                <w:sz w:val="24"/>
                <w:szCs w:val="24"/>
              </w:rPr>
              <w:lastRenderedPageBreak/>
              <w:t>Liver</w:t>
            </w:r>
          </w:p>
          <w:p w14:paraId="268A8E48" w14:textId="77777777" w:rsidR="009E7EA5" w:rsidRPr="009E7EA5" w:rsidRDefault="009E7EA5" w:rsidP="00066C31">
            <w:pPr>
              <w:pStyle w:val="ListParagraph"/>
              <w:numPr>
                <w:ilvl w:val="0"/>
                <w:numId w:val="39"/>
              </w:numPr>
              <w:rPr>
                <w:rFonts w:asciiTheme="minorHAnsi" w:hAnsiTheme="minorHAnsi"/>
                <w:sz w:val="24"/>
                <w:szCs w:val="24"/>
              </w:rPr>
            </w:pPr>
            <w:r w:rsidRPr="009E7EA5">
              <w:rPr>
                <w:rFonts w:asciiTheme="minorHAnsi" w:hAnsiTheme="minorHAnsi"/>
                <w:sz w:val="24"/>
                <w:szCs w:val="24"/>
              </w:rPr>
              <w:t xml:space="preserve">Heart kidney </w:t>
            </w:r>
          </w:p>
          <w:p w14:paraId="2C812E75" w14:textId="77777777" w:rsidR="009E7EA5" w:rsidRPr="009E7EA5" w:rsidRDefault="009E7EA5" w:rsidP="00066C31">
            <w:pPr>
              <w:pStyle w:val="ListParagraph"/>
              <w:numPr>
                <w:ilvl w:val="0"/>
                <w:numId w:val="39"/>
              </w:numPr>
              <w:rPr>
                <w:rFonts w:asciiTheme="minorHAnsi" w:hAnsiTheme="minorHAnsi"/>
                <w:sz w:val="24"/>
                <w:szCs w:val="24"/>
              </w:rPr>
            </w:pPr>
            <w:r w:rsidRPr="009E7EA5">
              <w:rPr>
                <w:rFonts w:asciiTheme="minorHAnsi" w:hAnsiTheme="minorHAnsi"/>
                <w:sz w:val="24"/>
                <w:szCs w:val="24"/>
              </w:rPr>
              <w:t xml:space="preserve">Heart liver </w:t>
            </w:r>
          </w:p>
          <w:p w14:paraId="72E01139" w14:textId="77777777" w:rsidR="009E7EA5" w:rsidRPr="009E7EA5" w:rsidRDefault="009E7EA5" w:rsidP="00066C31">
            <w:pPr>
              <w:pStyle w:val="ListParagraph"/>
              <w:numPr>
                <w:ilvl w:val="0"/>
                <w:numId w:val="39"/>
              </w:numPr>
              <w:rPr>
                <w:rFonts w:asciiTheme="minorHAnsi" w:hAnsiTheme="minorHAnsi"/>
                <w:sz w:val="24"/>
                <w:szCs w:val="24"/>
              </w:rPr>
            </w:pPr>
            <w:r w:rsidRPr="009E7EA5">
              <w:rPr>
                <w:rFonts w:asciiTheme="minorHAnsi" w:hAnsiTheme="minorHAnsi"/>
                <w:sz w:val="24"/>
                <w:szCs w:val="24"/>
              </w:rPr>
              <w:t xml:space="preserve">Liver kidney </w:t>
            </w:r>
          </w:p>
          <w:p w14:paraId="1901A5EE" w14:textId="77777777" w:rsidR="009E7EA5" w:rsidRPr="009E7EA5" w:rsidRDefault="009E7EA5" w:rsidP="00066C31">
            <w:pPr>
              <w:pStyle w:val="ListParagraph"/>
              <w:numPr>
                <w:ilvl w:val="0"/>
                <w:numId w:val="39"/>
              </w:numPr>
              <w:rPr>
                <w:rFonts w:asciiTheme="minorHAnsi" w:hAnsiTheme="minorHAnsi"/>
                <w:sz w:val="24"/>
                <w:szCs w:val="24"/>
              </w:rPr>
            </w:pPr>
            <w:r w:rsidRPr="009E7EA5">
              <w:rPr>
                <w:rFonts w:asciiTheme="minorHAnsi" w:hAnsiTheme="minorHAnsi"/>
                <w:sz w:val="24"/>
                <w:szCs w:val="24"/>
              </w:rPr>
              <w:t>Pancreas</w:t>
            </w:r>
          </w:p>
          <w:p w14:paraId="6F47566D" w14:textId="77777777" w:rsidR="009E7EA5" w:rsidRPr="009E7EA5" w:rsidRDefault="009E7EA5" w:rsidP="00066C31">
            <w:pPr>
              <w:pStyle w:val="ListParagraph"/>
              <w:numPr>
                <w:ilvl w:val="0"/>
                <w:numId w:val="39"/>
              </w:numPr>
              <w:rPr>
                <w:rFonts w:asciiTheme="minorHAnsi" w:hAnsiTheme="minorHAnsi"/>
                <w:sz w:val="24"/>
                <w:szCs w:val="24"/>
              </w:rPr>
            </w:pPr>
            <w:r w:rsidRPr="009E7EA5">
              <w:rPr>
                <w:rFonts w:asciiTheme="minorHAnsi" w:hAnsiTheme="minorHAnsi"/>
                <w:sz w:val="24"/>
                <w:szCs w:val="24"/>
              </w:rPr>
              <w:t>Small intestine</w:t>
            </w:r>
          </w:p>
        </w:tc>
        <w:tc>
          <w:tcPr>
            <w:tcW w:w="4110" w:type="dxa"/>
          </w:tcPr>
          <w:p w14:paraId="1ECB91EE" w14:textId="50EB6594" w:rsidR="009E7EA5" w:rsidRPr="00507D71" w:rsidRDefault="009E7EA5" w:rsidP="00066C31">
            <w:pPr>
              <w:rPr>
                <w:rFonts w:asciiTheme="minorHAnsi" w:hAnsiTheme="minorHAnsi"/>
                <w:sz w:val="24"/>
                <w:szCs w:val="24"/>
              </w:rPr>
            </w:pPr>
            <w:r>
              <w:rPr>
                <w:rFonts w:asciiTheme="minorHAnsi" w:hAnsiTheme="minorHAnsi"/>
                <w:sz w:val="24"/>
                <w:szCs w:val="24"/>
              </w:rPr>
              <w:lastRenderedPageBreak/>
              <w:t>T</w:t>
            </w:r>
            <w:r w:rsidR="0080035A">
              <w:rPr>
                <w:rFonts w:asciiTheme="minorHAnsi" w:hAnsiTheme="minorHAnsi"/>
                <w:sz w:val="24"/>
                <w:szCs w:val="24"/>
              </w:rPr>
              <w:t>he t</w:t>
            </w:r>
            <w:r>
              <w:rPr>
                <w:rFonts w:asciiTheme="minorHAnsi" w:hAnsiTheme="minorHAnsi"/>
                <w:sz w:val="24"/>
                <w:szCs w:val="24"/>
              </w:rPr>
              <w:t>ypes of combinations of organ transplants will be captured for data analysis (A)</w:t>
            </w:r>
          </w:p>
        </w:tc>
      </w:tr>
      <w:tr w:rsidR="009E7EA5" w:rsidRPr="00507D71" w14:paraId="4457F0E3" w14:textId="77777777" w:rsidTr="00784EBB">
        <w:tc>
          <w:tcPr>
            <w:tcW w:w="1242" w:type="dxa"/>
            <w:shd w:val="clear" w:color="auto" w:fill="D9D9D9" w:themeFill="background1" w:themeFillShade="D9"/>
          </w:tcPr>
          <w:p w14:paraId="616BF43D"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lastRenderedPageBreak/>
              <w:t>Level of Evidence</w:t>
            </w:r>
          </w:p>
          <w:p w14:paraId="0585A586" w14:textId="5C0907C9" w:rsidR="009E7EA5" w:rsidRPr="00507D71" w:rsidRDefault="009E7EA5" w:rsidP="00066C31">
            <w:pPr>
              <w:rPr>
                <w:rFonts w:asciiTheme="minorHAnsi" w:hAnsiTheme="minorHAnsi"/>
                <w:sz w:val="24"/>
                <w:szCs w:val="24"/>
              </w:rPr>
            </w:pPr>
          </w:p>
        </w:tc>
        <w:tc>
          <w:tcPr>
            <w:tcW w:w="4253" w:type="dxa"/>
          </w:tcPr>
          <w:p w14:paraId="732BC597" w14:textId="77777777" w:rsidR="009E7EA5" w:rsidRPr="00315196" w:rsidRDefault="009E7EA5" w:rsidP="00066C31">
            <w:pPr>
              <w:rPr>
                <w:rFonts w:asciiTheme="minorHAnsi" w:hAnsiTheme="minorHAnsi" w:cs="DIN-Light"/>
                <w:color w:val="000000"/>
                <w:sz w:val="24"/>
                <w:szCs w:val="24"/>
              </w:rPr>
            </w:pPr>
            <w:r w:rsidRPr="00E16157">
              <w:rPr>
                <w:rFonts w:asciiTheme="minorHAnsi" w:hAnsiTheme="minorHAnsi"/>
                <w:color w:val="000000"/>
                <w:sz w:val="24"/>
                <w:szCs w:val="24"/>
              </w:rPr>
              <w:t>Small case studies only; insufficient data (Category 4a)</w:t>
            </w:r>
          </w:p>
        </w:tc>
        <w:tc>
          <w:tcPr>
            <w:tcW w:w="4678" w:type="dxa"/>
            <w:gridSpan w:val="3"/>
          </w:tcPr>
          <w:p w14:paraId="71482FBB" w14:textId="77777777" w:rsidR="009E7EA5" w:rsidRPr="00315196" w:rsidRDefault="009E7EA5" w:rsidP="00066C31">
            <w:pPr>
              <w:rPr>
                <w:rFonts w:asciiTheme="minorHAnsi" w:hAnsiTheme="minorHAnsi"/>
                <w:sz w:val="24"/>
                <w:szCs w:val="24"/>
              </w:rPr>
            </w:pPr>
            <w:r w:rsidRPr="00896D1D">
              <w:rPr>
                <w:rFonts w:asciiTheme="minorHAnsi" w:hAnsiTheme="minorHAnsi"/>
                <w:color w:val="000000"/>
                <w:sz w:val="24"/>
                <w:szCs w:val="24"/>
              </w:rPr>
              <w:t>Small case studies only;</w:t>
            </w:r>
            <w:r w:rsidRPr="00E16157">
              <w:rPr>
                <w:rFonts w:asciiTheme="minorHAnsi" w:hAnsiTheme="minorHAnsi"/>
                <w:color w:val="000000"/>
                <w:sz w:val="24"/>
                <w:szCs w:val="24"/>
              </w:rPr>
              <w:t xml:space="preserve"> insufficient data (Category 4a)</w:t>
            </w:r>
          </w:p>
        </w:tc>
        <w:tc>
          <w:tcPr>
            <w:tcW w:w="4110" w:type="dxa"/>
          </w:tcPr>
          <w:p w14:paraId="795C1F21" w14:textId="2B2E5F98" w:rsidR="009E7EA5" w:rsidRPr="00507D71" w:rsidRDefault="0078263B" w:rsidP="00066C31">
            <w:pPr>
              <w:rPr>
                <w:rFonts w:asciiTheme="minorHAnsi" w:hAnsiTheme="minorHAnsi"/>
                <w:sz w:val="24"/>
                <w:szCs w:val="24"/>
              </w:rPr>
            </w:pPr>
            <w:r>
              <w:rPr>
                <w:rFonts w:asciiTheme="minorHAnsi" w:hAnsiTheme="minorHAnsi"/>
                <w:sz w:val="24"/>
                <w:szCs w:val="24"/>
              </w:rPr>
              <w:t>Unchanged</w:t>
            </w:r>
          </w:p>
        </w:tc>
      </w:tr>
      <w:tr w:rsidR="009E7EA5" w:rsidRPr="00507D71" w14:paraId="23079A00" w14:textId="77777777" w:rsidTr="00784EBB">
        <w:tc>
          <w:tcPr>
            <w:tcW w:w="1242" w:type="dxa"/>
            <w:shd w:val="clear" w:color="auto" w:fill="D9D9D9" w:themeFill="background1" w:themeFillShade="D9"/>
          </w:tcPr>
          <w:p w14:paraId="7CC0FE91"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Justification for Evidence Category</w:t>
            </w:r>
          </w:p>
          <w:p w14:paraId="12F2F32B" w14:textId="18C2ED55" w:rsidR="009E7EA5" w:rsidRPr="00507D71" w:rsidRDefault="009E7EA5" w:rsidP="00066C31">
            <w:pPr>
              <w:rPr>
                <w:rFonts w:asciiTheme="minorHAnsi" w:hAnsiTheme="minorHAnsi"/>
                <w:sz w:val="24"/>
                <w:szCs w:val="24"/>
              </w:rPr>
            </w:pPr>
          </w:p>
        </w:tc>
        <w:tc>
          <w:tcPr>
            <w:tcW w:w="4253" w:type="dxa"/>
          </w:tcPr>
          <w:p w14:paraId="0D678115" w14:textId="77777777" w:rsidR="009E7EA5" w:rsidRPr="00507D71" w:rsidRDefault="009E7EA5" w:rsidP="00066C31">
            <w:pPr>
              <w:rPr>
                <w:rFonts w:asciiTheme="minorHAnsi" w:hAnsiTheme="minorHAnsi"/>
                <w:sz w:val="24"/>
                <w:szCs w:val="24"/>
              </w:rPr>
            </w:pPr>
          </w:p>
        </w:tc>
        <w:tc>
          <w:tcPr>
            <w:tcW w:w="4678" w:type="dxa"/>
            <w:gridSpan w:val="3"/>
          </w:tcPr>
          <w:p w14:paraId="56CFA88B" w14:textId="77777777" w:rsidR="009E7EA5" w:rsidRPr="00507D71" w:rsidRDefault="009E7EA5" w:rsidP="00066C31">
            <w:pPr>
              <w:spacing w:after="120"/>
              <w:rPr>
                <w:rFonts w:asciiTheme="minorHAnsi" w:hAnsiTheme="minorHAnsi"/>
                <w:color w:val="000000"/>
                <w:sz w:val="24"/>
                <w:szCs w:val="24"/>
              </w:rPr>
            </w:pPr>
            <w:r w:rsidRPr="00507D71">
              <w:rPr>
                <w:rFonts w:asciiTheme="minorHAnsi" w:hAnsiTheme="minorHAnsi"/>
                <w:color w:val="000000"/>
                <w:sz w:val="24"/>
                <w:szCs w:val="24"/>
              </w:rPr>
              <w:t>Jordan et al (1998) combined data from seven renal transplant recipients and three heart transplant recipients with steroid-resistant combined antibody-mediated (AbMR) and cellular rejection. All patients in this series were successfully treated with high-dose IVIg.</w:t>
            </w:r>
          </w:p>
          <w:p w14:paraId="45B898DD" w14:textId="5F7EBD67" w:rsidR="009E7EA5" w:rsidRPr="00507D71" w:rsidRDefault="009E7EA5" w:rsidP="00066C31">
            <w:pPr>
              <w:widowControl w:val="0"/>
              <w:autoSpaceDE w:val="0"/>
              <w:autoSpaceDN w:val="0"/>
              <w:adjustRightInd w:val="0"/>
              <w:rPr>
                <w:rFonts w:asciiTheme="minorHAnsi" w:eastAsiaTheme="minorHAnsi" w:hAnsiTheme="minorHAnsi" w:cs="Times New Roman"/>
                <w:sz w:val="24"/>
                <w:szCs w:val="24"/>
                <w:lang w:val="en-US"/>
              </w:rPr>
            </w:pPr>
            <w:r w:rsidRPr="00507D71">
              <w:rPr>
                <w:rFonts w:asciiTheme="minorHAnsi" w:eastAsiaTheme="minorHAnsi" w:hAnsiTheme="minorHAnsi" w:cs="Times New Roman"/>
                <w:sz w:val="24"/>
                <w:szCs w:val="24"/>
                <w:lang w:val="en-US"/>
              </w:rPr>
              <w:t>Findings from an International Consensus Conference in 2011 noted that IVIg has never been systematically studied in patients after transplant to prophylactically reduce the incidence of AbMR. Despite being routinely used for the treatment of AbMR, only 1 study has reported the efficacy of Ig</w:t>
            </w:r>
            <w:r w:rsidR="00CA09DA">
              <w:rPr>
                <w:rFonts w:asciiTheme="minorHAnsi" w:eastAsiaTheme="minorHAnsi" w:hAnsiTheme="minorHAnsi" w:cs="Times New Roman"/>
                <w:sz w:val="24"/>
                <w:szCs w:val="24"/>
                <w:lang w:val="en-US"/>
              </w:rPr>
              <w:t xml:space="preserve"> therapy in this setting. </w:t>
            </w:r>
            <w:r w:rsidRPr="00507D71">
              <w:rPr>
                <w:rFonts w:asciiTheme="minorHAnsi" w:eastAsiaTheme="minorHAnsi" w:hAnsiTheme="minorHAnsi" w:cs="Times New Roman"/>
                <w:sz w:val="24"/>
                <w:szCs w:val="24"/>
                <w:lang w:val="en-US"/>
              </w:rPr>
              <w:t>Five patients with evidence of AbMR were treated with a combination of IVIg and plasmapheresis. Hemodynamics initially improved in all 5 patients, but 2 patients later required further therapy with rituximab because of recurrent hemodynamic rejection.</w:t>
            </w:r>
          </w:p>
          <w:p w14:paraId="55CD2D6D" w14:textId="77777777" w:rsidR="009E7EA5" w:rsidRPr="00507D71" w:rsidRDefault="009E7EA5" w:rsidP="00066C31">
            <w:pPr>
              <w:widowControl w:val="0"/>
              <w:autoSpaceDE w:val="0"/>
              <w:autoSpaceDN w:val="0"/>
              <w:adjustRightInd w:val="0"/>
              <w:rPr>
                <w:rFonts w:asciiTheme="minorHAnsi" w:eastAsia="Times New Roman" w:hAnsiTheme="minorHAnsi" w:cs="Times New Roman"/>
                <w:color w:val="000000"/>
                <w:sz w:val="24"/>
                <w:szCs w:val="24"/>
                <w:lang w:eastAsia="en-AU"/>
              </w:rPr>
            </w:pPr>
          </w:p>
        </w:tc>
        <w:tc>
          <w:tcPr>
            <w:tcW w:w="4110" w:type="dxa"/>
          </w:tcPr>
          <w:p w14:paraId="3B5491F4" w14:textId="4ECCA57B" w:rsidR="009E7EA5" w:rsidRPr="00315196" w:rsidRDefault="009E7EA5" w:rsidP="00066C31">
            <w:pPr>
              <w:rPr>
                <w:rFonts w:asciiTheme="minorHAnsi" w:hAnsiTheme="minorHAnsi"/>
                <w:sz w:val="24"/>
                <w:szCs w:val="24"/>
              </w:rPr>
            </w:pPr>
            <w:r>
              <w:rPr>
                <w:rStyle w:val="reference"/>
                <w:rFonts w:asciiTheme="minorHAnsi" w:hAnsiTheme="minorHAnsi"/>
                <w:color w:val="000000"/>
                <w:sz w:val="24"/>
                <w:szCs w:val="24"/>
              </w:rPr>
              <w:t>Evidence</w:t>
            </w:r>
            <w:r w:rsidRPr="00315196">
              <w:rPr>
                <w:rStyle w:val="reference"/>
                <w:rFonts w:asciiTheme="minorHAnsi" w:hAnsiTheme="minorHAnsi"/>
                <w:color w:val="000000"/>
                <w:sz w:val="24"/>
                <w:szCs w:val="24"/>
              </w:rPr>
              <w:t xml:space="preserve"> </w:t>
            </w:r>
            <w:r>
              <w:rPr>
                <w:rStyle w:val="reference"/>
                <w:rFonts w:asciiTheme="minorHAnsi" w:hAnsiTheme="minorHAnsi"/>
                <w:color w:val="000000"/>
                <w:sz w:val="24"/>
                <w:szCs w:val="24"/>
              </w:rPr>
              <w:t>revised to include</w:t>
            </w:r>
            <w:r w:rsidRPr="00315196">
              <w:rPr>
                <w:rStyle w:val="reference"/>
                <w:rFonts w:asciiTheme="minorHAnsi" w:hAnsiTheme="minorHAnsi"/>
                <w:color w:val="000000"/>
                <w:sz w:val="24"/>
                <w:szCs w:val="24"/>
              </w:rPr>
              <w:t xml:space="preserve"> reference to </w:t>
            </w:r>
            <w:r>
              <w:rPr>
                <w:rStyle w:val="reference"/>
                <w:rFonts w:asciiTheme="minorHAnsi" w:hAnsiTheme="minorHAnsi"/>
                <w:color w:val="000000"/>
                <w:sz w:val="24"/>
                <w:szCs w:val="24"/>
              </w:rPr>
              <w:t>consensus conference small series</w:t>
            </w:r>
            <w:r w:rsidRPr="00315196">
              <w:rPr>
                <w:rStyle w:val="reference"/>
                <w:rFonts w:asciiTheme="minorHAnsi" w:hAnsiTheme="minorHAnsi"/>
                <w:color w:val="000000"/>
                <w:sz w:val="24"/>
                <w:szCs w:val="24"/>
              </w:rPr>
              <w:t>.</w:t>
            </w:r>
            <w:r>
              <w:rPr>
                <w:rStyle w:val="reference"/>
                <w:rFonts w:asciiTheme="minorHAnsi" w:hAnsiTheme="minorHAnsi"/>
                <w:color w:val="000000"/>
                <w:sz w:val="24"/>
                <w:szCs w:val="24"/>
              </w:rPr>
              <w:t xml:space="preserve"> </w:t>
            </w:r>
            <w:r w:rsidR="00F80F3F">
              <w:rPr>
                <w:rStyle w:val="reference"/>
                <w:rFonts w:asciiTheme="minorHAnsi" w:hAnsiTheme="minorHAnsi"/>
                <w:color w:val="000000"/>
                <w:sz w:val="24"/>
                <w:szCs w:val="24"/>
              </w:rPr>
              <w:t>This section is l</w:t>
            </w:r>
            <w:r w:rsidR="0080035A">
              <w:rPr>
                <w:rStyle w:val="reference"/>
                <w:rFonts w:asciiTheme="minorHAnsi" w:hAnsiTheme="minorHAnsi"/>
                <w:color w:val="000000"/>
                <w:sz w:val="24"/>
                <w:szCs w:val="24"/>
              </w:rPr>
              <w:t xml:space="preserve">ikely to strengthen in future editions given the increased transplantation being supported internationally and in Australia. </w:t>
            </w:r>
            <w:r>
              <w:rPr>
                <w:rStyle w:val="reference"/>
                <w:rFonts w:asciiTheme="minorHAnsi" w:hAnsiTheme="minorHAnsi"/>
                <w:color w:val="000000"/>
                <w:sz w:val="24"/>
                <w:szCs w:val="24"/>
              </w:rPr>
              <w:t>(A)</w:t>
            </w:r>
          </w:p>
        </w:tc>
      </w:tr>
      <w:tr w:rsidR="009E7EA5" w:rsidRPr="00507D71" w14:paraId="6BFC9544" w14:textId="77777777" w:rsidTr="00784EBB">
        <w:tc>
          <w:tcPr>
            <w:tcW w:w="1242" w:type="dxa"/>
            <w:shd w:val="clear" w:color="auto" w:fill="D9D9D9" w:themeFill="background1" w:themeFillShade="D9"/>
          </w:tcPr>
          <w:p w14:paraId="75ABB5CF" w14:textId="14A351B1" w:rsidR="00066066" w:rsidRPr="00507D71" w:rsidRDefault="009E7EA5" w:rsidP="00066C31">
            <w:pPr>
              <w:rPr>
                <w:rFonts w:asciiTheme="minorHAnsi" w:hAnsiTheme="minorHAnsi"/>
                <w:sz w:val="24"/>
                <w:szCs w:val="24"/>
              </w:rPr>
            </w:pPr>
            <w:r w:rsidRPr="00507D71">
              <w:rPr>
                <w:rFonts w:asciiTheme="minorHAnsi" w:hAnsiTheme="minorHAnsi"/>
                <w:sz w:val="24"/>
                <w:szCs w:val="24"/>
              </w:rPr>
              <w:lastRenderedPageBreak/>
              <w:t xml:space="preserve">Description and Diagnostic </w:t>
            </w:r>
          </w:p>
          <w:p w14:paraId="576AAECC" w14:textId="1BBB710D" w:rsidR="009E7EA5" w:rsidRPr="00507D71" w:rsidRDefault="009E7EA5" w:rsidP="00066C31">
            <w:pPr>
              <w:rPr>
                <w:rFonts w:asciiTheme="minorHAnsi" w:hAnsiTheme="minorHAnsi"/>
                <w:sz w:val="24"/>
                <w:szCs w:val="24"/>
              </w:rPr>
            </w:pPr>
          </w:p>
        </w:tc>
        <w:tc>
          <w:tcPr>
            <w:tcW w:w="4253" w:type="dxa"/>
          </w:tcPr>
          <w:p w14:paraId="32C0B7D4" w14:textId="77777777" w:rsidR="009E7EA5" w:rsidRPr="00507D71" w:rsidRDefault="009E7EA5" w:rsidP="00066C31">
            <w:pPr>
              <w:rPr>
                <w:rFonts w:asciiTheme="minorHAnsi" w:hAnsiTheme="minorHAnsi"/>
                <w:sz w:val="24"/>
                <w:szCs w:val="24"/>
              </w:rPr>
            </w:pPr>
          </w:p>
        </w:tc>
        <w:tc>
          <w:tcPr>
            <w:tcW w:w="4678" w:type="dxa"/>
            <w:gridSpan w:val="3"/>
          </w:tcPr>
          <w:p w14:paraId="26591330" w14:textId="77777777" w:rsidR="009E7EA5" w:rsidRPr="00507D71" w:rsidRDefault="009E7EA5" w:rsidP="00066C31">
            <w:pPr>
              <w:spacing w:after="120"/>
              <w:rPr>
                <w:rFonts w:asciiTheme="minorHAnsi" w:hAnsiTheme="minorHAnsi"/>
                <w:color w:val="000000"/>
                <w:sz w:val="24"/>
                <w:szCs w:val="24"/>
              </w:rPr>
            </w:pPr>
            <w:r w:rsidRPr="00507D71">
              <w:rPr>
                <w:rStyle w:val="reference"/>
                <w:rFonts w:asciiTheme="minorHAnsi" w:hAnsiTheme="minorHAnsi"/>
                <w:color w:val="000000"/>
                <w:sz w:val="24"/>
                <w:szCs w:val="24"/>
              </w:rPr>
              <w:t>Transplant rejection</w:t>
            </w:r>
            <w:r w:rsidRPr="00507D71">
              <w:rPr>
                <w:rFonts w:asciiTheme="minorHAnsi" w:hAnsiTheme="minorHAnsi"/>
                <w:color w:val="000000"/>
                <w:sz w:val="24"/>
                <w:szCs w:val="24"/>
              </w:rPr>
              <w:t xml:space="preserve"> occurs when a recipient’s immune system attacks a transplanted organ or tissue. Despite the use of immunosuppressants, one or more episodes of rejection can occur after transplantation. Both cellular and humoral (antibody-mediated) effector mechanisms can play a role.</w:t>
            </w:r>
          </w:p>
          <w:p w14:paraId="4241E3BE" w14:textId="77777777" w:rsidR="009E7EA5" w:rsidRPr="00507D71" w:rsidRDefault="009E7EA5" w:rsidP="00066C31">
            <w:pPr>
              <w:spacing w:after="120"/>
              <w:rPr>
                <w:rFonts w:asciiTheme="minorHAnsi" w:hAnsiTheme="minorHAnsi"/>
                <w:color w:val="000000"/>
                <w:sz w:val="24"/>
                <w:szCs w:val="24"/>
              </w:rPr>
            </w:pPr>
            <w:r w:rsidRPr="00507D71">
              <w:rPr>
                <w:rFonts w:asciiTheme="minorHAnsi" w:hAnsiTheme="minorHAnsi"/>
                <w:color w:val="000000"/>
                <w:sz w:val="24"/>
                <w:szCs w:val="24"/>
              </w:rPr>
              <w:t>The presence and pattern of rejection need to be established by biopsy. Laboratory tests to assess the presence and strength of antibodies to the donor antigens can provide additional useful information. Clinical assessment, blood tests, ultrasound and nuclear imaging are used primarily to exclude other causes of organ dysfunction.</w:t>
            </w:r>
          </w:p>
          <w:p w14:paraId="74CAB88D" w14:textId="34F23CE8" w:rsidR="009E7EA5" w:rsidRPr="00507D71" w:rsidRDefault="009E7EA5" w:rsidP="00066C31">
            <w:pPr>
              <w:spacing w:after="120"/>
              <w:rPr>
                <w:rFonts w:asciiTheme="minorHAnsi" w:hAnsiTheme="minorHAnsi"/>
                <w:color w:val="000000"/>
                <w:sz w:val="24"/>
                <w:szCs w:val="24"/>
              </w:rPr>
            </w:pPr>
            <w:r w:rsidRPr="00507D71">
              <w:rPr>
                <w:rFonts w:asciiTheme="minorHAnsi" w:hAnsiTheme="minorHAnsi"/>
                <w:color w:val="000000"/>
                <w:sz w:val="24"/>
                <w:szCs w:val="24"/>
              </w:rPr>
              <w:t>Acute cellular rejection occurs in 15–30% of organ transplants and is responsive to steroids in more than 90% of cases. When rejection is steroid resistant, IVIg is a safer therapy than anti-T cell antibody therapy with equal efficacy.</w:t>
            </w:r>
          </w:p>
          <w:p w14:paraId="2016F2D5" w14:textId="77777777" w:rsidR="009E7EA5" w:rsidRPr="00507D71" w:rsidRDefault="009E7EA5" w:rsidP="00066C31">
            <w:pPr>
              <w:rPr>
                <w:rFonts w:asciiTheme="minorHAnsi" w:hAnsiTheme="minorHAnsi"/>
                <w:color w:val="000000"/>
                <w:sz w:val="24"/>
                <w:szCs w:val="24"/>
              </w:rPr>
            </w:pPr>
            <w:r w:rsidRPr="00507D71">
              <w:rPr>
                <w:rStyle w:val="reference"/>
                <w:rFonts w:asciiTheme="minorHAnsi" w:hAnsiTheme="minorHAnsi"/>
                <w:color w:val="000000"/>
                <w:sz w:val="24"/>
                <w:szCs w:val="24"/>
              </w:rPr>
              <w:t>Antibody mediated rejection (AbMR)</w:t>
            </w:r>
            <w:r w:rsidRPr="00507D71">
              <w:rPr>
                <w:rFonts w:asciiTheme="minorHAnsi" w:hAnsiTheme="minorHAnsi"/>
                <w:color w:val="000000"/>
                <w:sz w:val="24"/>
                <w:szCs w:val="24"/>
              </w:rPr>
              <w:t xml:space="preserve"> occurs in 10–20% of heart transplants that have been performed with a compatible cross match. AbMR is associated with increased incidence of graft dysfunction, coronary allograft vasculopathy and mortality. Before the use of IVIg and plasma exchange, AbMR failed to respond adequately to therapy in </w:t>
            </w:r>
            <w:r w:rsidRPr="00507D71">
              <w:rPr>
                <w:rFonts w:asciiTheme="minorHAnsi" w:hAnsiTheme="minorHAnsi"/>
                <w:color w:val="000000"/>
                <w:sz w:val="24"/>
                <w:szCs w:val="24"/>
              </w:rPr>
              <w:lastRenderedPageBreak/>
              <w:t>most cases. Additionally, complications from therapy were severe and sometimes fatal. AbMR responds to IVIg with or without plasma exchange in more than 85% of patients.</w:t>
            </w:r>
          </w:p>
          <w:p w14:paraId="4F2555F3" w14:textId="5104CEB7" w:rsidR="009E7EA5" w:rsidRPr="00507D71" w:rsidRDefault="009E7EA5" w:rsidP="00066C31">
            <w:pPr>
              <w:widowControl w:val="0"/>
              <w:autoSpaceDE w:val="0"/>
              <w:autoSpaceDN w:val="0"/>
              <w:adjustRightInd w:val="0"/>
              <w:rPr>
                <w:rFonts w:asciiTheme="minorHAnsi" w:eastAsia="Times New Roman" w:hAnsiTheme="minorHAnsi" w:cs="Times New Roman"/>
                <w:color w:val="000000"/>
                <w:sz w:val="24"/>
                <w:szCs w:val="24"/>
                <w:lang w:eastAsia="en-AU"/>
              </w:rPr>
            </w:pPr>
            <w:r w:rsidRPr="00507D71">
              <w:rPr>
                <w:rFonts w:asciiTheme="minorHAnsi" w:hAnsiTheme="minorHAnsi"/>
                <w:color w:val="000000"/>
                <w:sz w:val="24"/>
                <w:szCs w:val="24"/>
              </w:rPr>
              <w:t xml:space="preserve">Diagnostic criteria for AbMR must be consistent with </w:t>
            </w:r>
            <w:r w:rsidRPr="00507D71">
              <w:rPr>
                <w:rFonts w:asciiTheme="minorHAnsi" w:eastAsiaTheme="minorHAnsi" w:hAnsiTheme="minorHAnsi" w:cs="Times New Roman"/>
                <w:sz w:val="24"/>
                <w:szCs w:val="24"/>
                <w:lang w:val="en-US"/>
              </w:rPr>
              <w:t>the I</w:t>
            </w:r>
            <w:r>
              <w:rPr>
                <w:rFonts w:asciiTheme="minorHAnsi" w:eastAsiaTheme="minorHAnsi" w:hAnsiTheme="minorHAnsi" w:cs="Times New Roman"/>
                <w:sz w:val="24"/>
                <w:szCs w:val="24"/>
                <w:lang w:val="en-US"/>
              </w:rPr>
              <w:t xml:space="preserve">nternational </w:t>
            </w:r>
            <w:r w:rsidRPr="00507D71">
              <w:rPr>
                <w:rFonts w:asciiTheme="minorHAnsi" w:eastAsiaTheme="minorHAnsi" w:hAnsiTheme="minorHAnsi" w:cs="Times New Roman"/>
                <w:sz w:val="24"/>
                <w:szCs w:val="24"/>
                <w:lang w:val="en-US"/>
              </w:rPr>
              <w:t>S</w:t>
            </w:r>
            <w:r>
              <w:rPr>
                <w:rFonts w:asciiTheme="minorHAnsi" w:eastAsiaTheme="minorHAnsi" w:hAnsiTheme="minorHAnsi" w:cs="Times New Roman"/>
                <w:sz w:val="24"/>
                <w:szCs w:val="24"/>
                <w:lang w:val="en-US"/>
              </w:rPr>
              <w:t xml:space="preserve">ociety for </w:t>
            </w:r>
            <w:r w:rsidRPr="00507D71">
              <w:rPr>
                <w:rFonts w:asciiTheme="minorHAnsi" w:eastAsiaTheme="minorHAnsi" w:hAnsiTheme="minorHAnsi" w:cs="Times New Roman"/>
                <w:sz w:val="24"/>
                <w:szCs w:val="24"/>
                <w:lang w:val="en-US"/>
              </w:rPr>
              <w:t>H</w:t>
            </w:r>
            <w:r>
              <w:rPr>
                <w:rFonts w:asciiTheme="minorHAnsi" w:eastAsiaTheme="minorHAnsi" w:hAnsiTheme="minorHAnsi" w:cs="Times New Roman"/>
                <w:sz w:val="24"/>
                <w:szCs w:val="24"/>
                <w:lang w:val="en-US"/>
              </w:rPr>
              <w:t xml:space="preserve">eart and Lung </w:t>
            </w:r>
            <w:r w:rsidRPr="00507D71">
              <w:rPr>
                <w:rFonts w:asciiTheme="minorHAnsi" w:eastAsiaTheme="minorHAnsi" w:hAnsiTheme="minorHAnsi" w:cs="Times New Roman"/>
                <w:sz w:val="24"/>
                <w:szCs w:val="24"/>
                <w:lang w:val="en-US"/>
              </w:rPr>
              <w:t>T</w:t>
            </w:r>
            <w:r>
              <w:rPr>
                <w:rFonts w:asciiTheme="minorHAnsi" w:eastAsiaTheme="minorHAnsi" w:hAnsiTheme="minorHAnsi" w:cs="Times New Roman"/>
                <w:sz w:val="24"/>
                <w:szCs w:val="24"/>
                <w:lang w:val="en-US"/>
              </w:rPr>
              <w:t>ransplantation (IHSLT) Criteria (2011).</w:t>
            </w:r>
          </w:p>
        </w:tc>
        <w:tc>
          <w:tcPr>
            <w:tcW w:w="4110" w:type="dxa"/>
          </w:tcPr>
          <w:p w14:paraId="665F1AC6" w14:textId="6B0BDF41" w:rsidR="009E7EA5" w:rsidRPr="00507D71" w:rsidRDefault="009E7EA5" w:rsidP="00066C31">
            <w:pPr>
              <w:spacing w:after="225" w:line="360" w:lineRule="atLeast"/>
              <w:rPr>
                <w:rFonts w:asciiTheme="minorHAnsi" w:eastAsia="Times New Roman" w:hAnsiTheme="minorHAnsi" w:cs="Times New Roman"/>
                <w:sz w:val="24"/>
                <w:szCs w:val="24"/>
                <w:lang w:eastAsia="en-AU"/>
              </w:rPr>
            </w:pPr>
            <w:r>
              <w:rPr>
                <w:rFonts w:asciiTheme="minorHAnsi" w:eastAsia="Times New Roman" w:hAnsiTheme="minorHAnsi" w:cs="Times New Roman"/>
                <w:sz w:val="24"/>
                <w:szCs w:val="24"/>
                <w:lang w:eastAsia="en-AU"/>
              </w:rPr>
              <w:lastRenderedPageBreak/>
              <w:t xml:space="preserve">Diagnostic requirements </w:t>
            </w:r>
            <w:r w:rsidR="0078263B">
              <w:rPr>
                <w:rFonts w:asciiTheme="minorHAnsi" w:eastAsia="Times New Roman" w:hAnsiTheme="minorHAnsi" w:cs="Times New Roman"/>
                <w:sz w:val="24"/>
                <w:szCs w:val="24"/>
                <w:lang w:eastAsia="en-AU"/>
              </w:rPr>
              <w:t xml:space="preserve">have been developed and for AbMR, are </w:t>
            </w:r>
            <w:r>
              <w:rPr>
                <w:rFonts w:asciiTheme="minorHAnsi" w:eastAsia="Times New Roman" w:hAnsiTheme="minorHAnsi" w:cs="Times New Roman"/>
                <w:sz w:val="24"/>
                <w:szCs w:val="24"/>
                <w:lang w:eastAsia="en-AU"/>
              </w:rPr>
              <w:t>to comply with IHSLT diagnostic criteria</w:t>
            </w:r>
            <w:r w:rsidR="0078263B">
              <w:rPr>
                <w:rFonts w:asciiTheme="minorHAnsi" w:eastAsia="Times New Roman" w:hAnsiTheme="minorHAnsi" w:cs="Times New Roman"/>
                <w:sz w:val="24"/>
                <w:szCs w:val="24"/>
                <w:lang w:eastAsia="en-AU"/>
              </w:rPr>
              <w:t xml:space="preserve">. </w:t>
            </w:r>
            <w:r>
              <w:rPr>
                <w:rFonts w:asciiTheme="minorHAnsi" w:eastAsia="Times New Roman" w:hAnsiTheme="minorHAnsi" w:cs="Times New Roman"/>
                <w:sz w:val="24"/>
                <w:szCs w:val="24"/>
                <w:lang w:eastAsia="en-AU"/>
              </w:rPr>
              <w:t>(A)</w:t>
            </w:r>
          </w:p>
        </w:tc>
      </w:tr>
      <w:tr w:rsidR="009E7EA5" w:rsidRPr="00507D71" w14:paraId="63AF4255" w14:textId="77777777" w:rsidTr="00784EBB">
        <w:tc>
          <w:tcPr>
            <w:tcW w:w="1242" w:type="dxa"/>
            <w:shd w:val="clear" w:color="auto" w:fill="D9D9D9" w:themeFill="background1" w:themeFillShade="D9"/>
          </w:tcPr>
          <w:p w14:paraId="53F748B0"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lastRenderedPageBreak/>
              <w:t>Diagnosis is required</w:t>
            </w:r>
          </w:p>
        </w:tc>
        <w:tc>
          <w:tcPr>
            <w:tcW w:w="4253" w:type="dxa"/>
            <w:vMerge w:val="restart"/>
          </w:tcPr>
          <w:p w14:paraId="50AC72DC" w14:textId="77777777" w:rsidR="009E7EA5" w:rsidRPr="00507D71" w:rsidRDefault="009E7EA5" w:rsidP="00066C31">
            <w:pPr>
              <w:rPr>
                <w:rFonts w:asciiTheme="minorHAnsi" w:hAnsiTheme="minorHAnsi"/>
                <w:sz w:val="24"/>
                <w:szCs w:val="24"/>
              </w:rPr>
            </w:pPr>
            <w:r>
              <w:rPr>
                <w:rFonts w:asciiTheme="minorHAnsi" w:hAnsiTheme="minorHAnsi"/>
                <w:sz w:val="24"/>
                <w:szCs w:val="24"/>
              </w:rPr>
              <w:t xml:space="preserve">None specified. </w:t>
            </w:r>
          </w:p>
        </w:tc>
        <w:tc>
          <w:tcPr>
            <w:tcW w:w="992" w:type="dxa"/>
          </w:tcPr>
          <w:p w14:paraId="02BF437C" w14:textId="1E329125" w:rsidR="009E7EA5" w:rsidRPr="00507D71" w:rsidRDefault="000B0EC9" w:rsidP="00066C31">
            <w:pPr>
              <w:rPr>
                <w:rFonts w:asciiTheme="minorHAnsi" w:hAnsiTheme="minorHAnsi"/>
                <w:sz w:val="24"/>
                <w:szCs w:val="24"/>
              </w:rPr>
            </w:pPr>
            <w:r>
              <w:rPr>
                <w:rFonts w:asciiTheme="minorHAnsi" w:hAnsiTheme="minorHAnsi"/>
                <w:sz w:val="24"/>
                <w:szCs w:val="24"/>
              </w:rPr>
              <w:t>No</w:t>
            </w:r>
          </w:p>
        </w:tc>
        <w:tc>
          <w:tcPr>
            <w:tcW w:w="1559" w:type="dxa"/>
            <w:shd w:val="clear" w:color="auto" w:fill="BFBFBF" w:themeFill="background1" w:themeFillShade="BF"/>
          </w:tcPr>
          <w:p w14:paraId="7E8C8C30"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By which speciality</w:t>
            </w:r>
          </w:p>
        </w:tc>
        <w:tc>
          <w:tcPr>
            <w:tcW w:w="2127" w:type="dxa"/>
          </w:tcPr>
          <w:p w14:paraId="70EB0AB8" w14:textId="77777777" w:rsidR="009E7EA5" w:rsidRPr="00507D71" w:rsidRDefault="009E7EA5" w:rsidP="00066C31">
            <w:pPr>
              <w:rPr>
                <w:rFonts w:asciiTheme="minorHAnsi" w:hAnsiTheme="minorHAnsi"/>
                <w:sz w:val="24"/>
                <w:szCs w:val="24"/>
              </w:rPr>
            </w:pPr>
          </w:p>
        </w:tc>
        <w:tc>
          <w:tcPr>
            <w:tcW w:w="4110" w:type="dxa"/>
          </w:tcPr>
          <w:p w14:paraId="04071A60" w14:textId="77777777" w:rsidR="009E7EA5" w:rsidRPr="00507D71" w:rsidRDefault="009E7EA5" w:rsidP="00066C31">
            <w:pPr>
              <w:rPr>
                <w:rFonts w:asciiTheme="minorHAnsi" w:hAnsiTheme="minorHAnsi"/>
                <w:sz w:val="24"/>
                <w:szCs w:val="24"/>
              </w:rPr>
            </w:pPr>
            <w:r>
              <w:rPr>
                <w:rFonts w:asciiTheme="minorHAnsi" w:hAnsiTheme="minorHAnsi"/>
                <w:sz w:val="24"/>
                <w:szCs w:val="24"/>
              </w:rPr>
              <w:t xml:space="preserve">No change. </w:t>
            </w:r>
          </w:p>
        </w:tc>
      </w:tr>
      <w:tr w:rsidR="009E7EA5" w:rsidRPr="00507D71" w14:paraId="5EAC26FA" w14:textId="77777777" w:rsidTr="00784EBB">
        <w:tc>
          <w:tcPr>
            <w:tcW w:w="1242" w:type="dxa"/>
            <w:shd w:val="clear" w:color="auto" w:fill="D9D9D9" w:themeFill="background1" w:themeFillShade="D9"/>
          </w:tcPr>
          <w:p w14:paraId="5590ADCA"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Diagnosis must be verified</w:t>
            </w:r>
          </w:p>
        </w:tc>
        <w:tc>
          <w:tcPr>
            <w:tcW w:w="4253" w:type="dxa"/>
            <w:vMerge/>
          </w:tcPr>
          <w:p w14:paraId="2A680257" w14:textId="77777777" w:rsidR="009E7EA5" w:rsidRPr="00507D71" w:rsidRDefault="009E7EA5" w:rsidP="00066C31">
            <w:pPr>
              <w:rPr>
                <w:rFonts w:asciiTheme="minorHAnsi" w:hAnsiTheme="minorHAnsi"/>
                <w:sz w:val="24"/>
                <w:szCs w:val="24"/>
              </w:rPr>
            </w:pPr>
          </w:p>
        </w:tc>
        <w:tc>
          <w:tcPr>
            <w:tcW w:w="992" w:type="dxa"/>
          </w:tcPr>
          <w:p w14:paraId="732E82EB" w14:textId="62CAA541" w:rsidR="009E7EA5" w:rsidRPr="00507D71" w:rsidRDefault="000B0EC9" w:rsidP="00066C31">
            <w:pPr>
              <w:rPr>
                <w:rFonts w:asciiTheme="minorHAnsi" w:hAnsiTheme="minorHAnsi"/>
                <w:sz w:val="24"/>
                <w:szCs w:val="24"/>
              </w:rPr>
            </w:pPr>
            <w:r>
              <w:rPr>
                <w:rFonts w:asciiTheme="minorHAnsi" w:hAnsiTheme="minorHAnsi"/>
                <w:sz w:val="24"/>
                <w:szCs w:val="24"/>
              </w:rPr>
              <w:t>No</w:t>
            </w:r>
          </w:p>
        </w:tc>
        <w:tc>
          <w:tcPr>
            <w:tcW w:w="1559" w:type="dxa"/>
            <w:shd w:val="clear" w:color="auto" w:fill="BFBFBF" w:themeFill="background1" w:themeFillShade="BF"/>
          </w:tcPr>
          <w:p w14:paraId="5A615DDE"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By which speciality</w:t>
            </w:r>
          </w:p>
        </w:tc>
        <w:tc>
          <w:tcPr>
            <w:tcW w:w="2127" w:type="dxa"/>
          </w:tcPr>
          <w:p w14:paraId="645AE816" w14:textId="77777777" w:rsidR="009E7EA5" w:rsidRPr="00507D71" w:rsidRDefault="009E7EA5" w:rsidP="00066C31">
            <w:pPr>
              <w:rPr>
                <w:rFonts w:asciiTheme="minorHAnsi" w:hAnsiTheme="minorHAnsi"/>
                <w:sz w:val="24"/>
                <w:szCs w:val="24"/>
              </w:rPr>
            </w:pPr>
          </w:p>
        </w:tc>
        <w:tc>
          <w:tcPr>
            <w:tcW w:w="4110" w:type="dxa"/>
          </w:tcPr>
          <w:p w14:paraId="0E86770D" w14:textId="77777777" w:rsidR="009E7EA5" w:rsidRPr="00507D71" w:rsidRDefault="009E7EA5" w:rsidP="00066C31">
            <w:pPr>
              <w:rPr>
                <w:rFonts w:asciiTheme="minorHAnsi" w:hAnsiTheme="minorHAnsi"/>
                <w:sz w:val="24"/>
                <w:szCs w:val="24"/>
              </w:rPr>
            </w:pPr>
          </w:p>
        </w:tc>
      </w:tr>
      <w:tr w:rsidR="009E7EA5" w:rsidRPr="00507D71" w14:paraId="0BCD8D46" w14:textId="77777777" w:rsidTr="00784EBB">
        <w:tc>
          <w:tcPr>
            <w:tcW w:w="1242" w:type="dxa"/>
            <w:shd w:val="clear" w:color="auto" w:fill="D9D9D9" w:themeFill="background1" w:themeFillShade="D9"/>
          </w:tcPr>
          <w:p w14:paraId="0D6034B1" w14:textId="77777777" w:rsidR="009E7EA5" w:rsidRPr="00507D71" w:rsidRDefault="009E7EA5" w:rsidP="00066C31">
            <w:pPr>
              <w:jc w:val="center"/>
              <w:rPr>
                <w:rFonts w:asciiTheme="minorHAnsi" w:hAnsiTheme="minorHAnsi"/>
                <w:sz w:val="24"/>
                <w:szCs w:val="24"/>
              </w:rPr>
            </w:pPr>
            <w:r w:rsidRPr="00507D71">
              <w:rPr>
                <w:rFonts w:asciiTheme="minorHAnsi" w:hAnsiTheme="minorHAnsi"/>
                <w:sz w:val="24"/>
                <w:szCs w:val="24"/>
              </w:rPr>
              <w:t>Exclusion Criteria</w:t>
            </w:r>
          </w:p>
          <w:p w14:paraId="3ED2250C" w14:textId="5C4DAE8E" w:rsidR="009E7EA5" w:rsidRPr="00507D71" w:rsidRDefault="009E7EA5" w:rsidP="00066C31">
            <w:pPr>
              <w:jc w:val="center"/>
              <w:rPr>
                <w:rFonts w:asciiTheme="minorHAnsi" w:hAnsiTheme="minorHAnsi"/>
                <w:sz w:val="24"/>
                <w:szCs w:val="24"/>
              </w:rPr>
            </w:pPr>
          </w:p>
        </w:tc>
        <w:tc>
          <w:tcPr>
            <w:tcW w:w="4253" w:type="dxa"/>
          </w:tcPr>
          <w:p w14:paraId="1EE4006C" w14:textId="77777777" w:rsidR="009E7EA5" w:rsidRPr="00507D71" w:rsidRDefault="009E7EA5" w:rsidP="00066C31">
            <w:pPr>
              <w:rPr>
                <w:rFonts w:asciiTheme="minorHAnsi" w:hAnsiTheme="minorHAnsi"/>
                <w:strike/>
                <w:sz w:val="24"/>
                <w:szCs w:val="24"/>
              </w:rPr>
            </w:pPr>
          </w:p>
        </w:tc>
        <w:tc>
          <w:tcPr>
            <w:tcW w:w="4678" w:type="dxa"/>
            <w:gridSpan w:val="3"/>
          </w:tcPr>
          <w:p w14:paraId="2BF0F884" w14:textId="77777777" w:rsidR="009E7EA5" w:rsidRPr="00507D71" w:rsidRDefault="009E7EA5" w:rsidP="00066C31">
            <w:pPr>
              <w:rPr>
                <w:rFonts w:asciiTheme="minorHAnsi" w:hAnsiTheme="minorHAnsi"/>
                <w:strike/>
                <w:sz w:val="24"/>
                <w:szCs w:val="24"/>
              </w:rPr>
            </w:pPr>
          </w:p>
        </w:tc>
        <w:tc>
          <w:tcPr>
            <w:tcW w:w="4110" w:type="dxa"/>
          </w:tcPr>
          <w:p w14:paraId="567AAC27" w14:textId="77777777" w:rsidR="009E7EA5" w:rsidRPr="00507D71" w:rsidRDefault="009E7EA5" w:rsidP="00066C31">
            <w:pPr>
              <w:rPr>
                <w:rFonts w:asciiTheme="minorHAnsi" w:hAnsiTheme="minorHAnsi"/>
                <w:sz w:val="24"/>
                <w:szCs w:val="24"/>
              </w:rPr>
            </w:pPr>
          </w:p>
        </w:tc>
      </w:tr>
      <w:tr w:rsidR="009E7EA5" w:rsidRPr="00507D71" w14:paraId="301616E6" w14:textId="77777777" w:rsidTr="00784EBB">
        <w:tc>
          <w:tcPr>
            <w:tcW w:w="1242" w:type="dxa"/>
            <w:shd w:val="clear" w:color="auto" w:fill="D9D9D9" w:themeFill="background1" w:themeFillShade="D9"/>
          </w:tcPr>
          <w:p w14:paraId="67B178F7"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Indications</w:t>
            </w:r>
          </w:p>
        </w:tc>
        <w:tc>
          <w:tcPr>
            <w:tcW w:w="4253" w:type="dxa"/>
          </w:tcPr>
          <w:p w14:paraId="1E7A80F6" w14:textId="77777777" w:rsidR="009E7EA5" w:rsidRPr="00507D71" w:rsidRDefault="009E7EA5" w:rsidP="00066C31">
            <w:pPr>
              <w:spacing w:after="225" w:line="360" w:lineRule="atLeast"/>
              <w:rPr>
                <w:rFonts w:asciiTheme="minorHAnsi" w:eastAsia="Times New Roman" w:hAnsiTheme="minorHAnsi" w:cs="Times New Roman"/>
                <w:color w:val="000000"/>
                <w:sz w:val="24"/>
                <w:szCs w:val="24"/>
                <w:lang w:eastAsia="en-AU"/>
              </w:rPr>
            </w:pPr>
            <w:r w:rsidRPr="00507D71">
              <w:rPr>
                <w:rFonts w:asciiTheme="minorHAnsi" w:eastAsia="Times New Roman" w:hAnsiTheme="minorHAnsi" w:cs="Times New Roman"/>
                <w:color w:val="000000"/>
                <w:sz w:val="24"/>
                <w:szCs w:val="24"/>
                <w:lang w:eastAsia="en-AU"/>
              </w:rPr>
              <w:t>IVIg may be indicated in:</w:t>
            </w:r>
          </w:p>
          <w:p w14:paraId="5CB2200D" w14:textId="77777777" w:rsidR="009E7EA5" w:rsidRPr="00507D71" w:rsidRDefault="009E7EA5" w:rsidP="00066C31">
            <w:pPr>
              <w:numPr>
                <w:ilvl w:val="0"/>
                <w:numId w:val="37"/>
              </w:numPr>
              <w:spacing w:before="100" w:beforeAutospacing="1" w:after="150" w:line="360" w:lineRule="atLeast"/>
              <w:rPr>
                <w:rFonts w:asciiTheme="minorHAnsi" w:eastAsia="Times New Roman" w:hAnsiTheme="minorHAnsi" w:cs="Times New Roman"/>
                <w:color w:val="000000"/>
                <w:sz w:val="24"/>
                <w:szCs w:val="24"/>
                <w:lang w:eastAsia="en-AU"/>
              </w:rPr>
            </w:pPr>
            <w:r w:rsidRPr="00507D71">
              <w:rPr>
                <w:rFonts w:asciiTheme="minorHAnsi" w:eastAsia="Times New Roman" w:hAnsiTheme="minorHAnsi" w:cs="Times New Roman"/>
                <w:color w:val="000000"/>
                <w:sz w:val="24"/>
                <w:szCs w:val="24"/>
                <w:lang w:eastAsia="en-AU"/>
              </w:rPr>
              <w:t xml:space="preserve">highly sensitised patients awaiting transplantation; </w:t>
            </w:r>
          </w:p>
          <w:p w14:paraId="388485E3" w14:textId="77777777" w:rsidR="009E7EA5" w:rsidRPr="00507D71" w:rsidRDefault="009E7EA5" w:rsidP="00066C31">
            <w:pPr>
              <w:numPr>
                <w:ilvl w:val="0"/>
                <w:numId w:val="37"/>
              </w:numPr>
              <w:spacing w:before="100" w:beforeAutospacing="1" w:after="150" w:line="360" w:lineRule="atLeast"/>
              <w:rPr>
                <w:rFonts w:asciiTheme="minorHAnsi" w:eastAsia="Times New Roman" w:hAnsiTheme="minorHAnsi" w:cs="Times New Roman"/>
                <w:color w:val="000000"/>
                <w:sz w:val="24"/>
                <w:szCs w:val="24"/>
                <w:lang w:eastAsia="en-AU"/>
              </w:rPr>
            </w:pPr>
            <w:r w:rsidRPr="00507D71">
              <w:rPr>
                <w:rFonts w:asciiTheme="minorHAnsi" w:eastAsia="Times New Roman" w:hAnsiTheme="minorHAnsi" w:cs="Times New Roman"/>
                <w:color w:val="000000"/>
                <w:sz w:val="24"/>
                <w:szCs w:val="24"/>
                <w:lang w:eastAsia="en-AU"/>
              </w:rPr>
              <w:t xml:space="preserve">transplant recipients with acute antibody-mediated rejection with clinical evidence of graft dysfunction; and </w:t>
            </w:r>
          </w:p>
          <w:p w14:paraId="4F113646" w14:textId="77777777" w:rsidR="009E7EA5" w:rsidRPr="00507D71" w:rsidRDefault="009E7EA5" w:rsidP="00066C31">
            <w:pPr>
              <w:numPr>
                <w:ilvl w:val="0"/>
                <w:numId w:val="37"/>
              </w:numPr>
              <w:spacing w:before="100" w:beforeAutospacing="1" w:after="150" w:line="360" w:lineRule="atLeast"/>
              <w:rPr>
                <w:rFonts w:asciiTheme="minorHAnsi" w:eastAsia="Times New Roman" w:hAnsiTheme="minorHAnsi" w:cs="Times New Roman"/>
                <w:color w:val="000000"/>
                <w:sz w:val="24"/>
                <w:szCs w:val="24"/>
                <w:lang w:eastAsia="en-AU"/>
              </w:rPr>
            </w:pPr>
            <w:r w:rsidRPr="00507D71">
              <w:rPr>
                <w:rFonts w:asciiTheme="minorHAnsi" w:eastAsia="Times New Roman" w:hAnsiTheme="minorHAnsi" w:cs="Times New Roman"/>
                <w:color w:val="000000"/>
                <w:sz w:val="24"/>
                <w:szCs w:val="24"/>
                <w:lang w:eastAsia="en-AU"/>
              </w:rPr>
              <w:t xml:space="preserve">transplant recipients as treatment or prophylaxis for </w:t>
            </w:r>
            <w:r w:rsidRPr="00507D71">
              <w:rPr>
                <w:rFonts w:asciiTheme="minorHAnsi" w:eastAsia="Times New Roman" w:hAnsiTheme="minorHAnsi" w:cs="Times New Roman"/>
                <w:color w:val="000000"/>
                <w:sz w:val="24"/>
                <w:szCs w:val="24"/>
                <w:lang w:eastAsia="en-AU"/>
              </w:rPr>
              <w:lastRenderedPageBreak/>
              <w:t>rejection where conventional immunosuppressive therapy is contraindicated; for example, in a patient with life-threatening infection in whom conventional immunosuppression will place the patient at greater risk, or when the transplant is at risk.</w:t>
            </w:r>
          </w:p>
          <w:p w14:paraId="625BE8FB" w14:textId="77777777" w:rsidR="009E7EA5" w:rsidRPr="00507D71" w:rsidRDefault="009E7EA5" w:rsidP="00066C31">
            <w:pPr>
              <w:rPr>
                <w:rFonts w:asciiTheme="minorHAnsi" w:hAnsiTheme="minorHAnsi"/>
                <w:sz w:val="24"/>
                <w:szCs w:val="24"/>
              </w:rPr>
            </w:pPr>
          </w:p>
        </w:tc>
        <w:tc>
          <w:tcPr>
            <w:tcW w:w="4678" w:type="dxa"/>
            <w:gridSpan w:val="3"/>
          </w:tcPr>
          <w:p w14:paraId="7B05BEF2" w14:textId="6DCFD3BD" w:rsidR="009E7EA5" w:rsidRPr="00507D71" w:rsidRDefault="009E7EA5" w:rsidP="00066C31">
            <w:pPr>
              <w:rPr>
                <w:rFonts w:asciiTheme="minorHAnsi" w:hAnsiTheme="minorHAnsi"/>
                <w:b/>
                <w:i/>
                <w:iCs/>
                <w:color w:val="243F60" w:themeColor="accent1" w:themeShade="7F"/>
                <w:sz w:val="24"/>
                <w:szCs w:val="24"/>
              </w:rPr>
            </w:pPr>
            <w:r w:rsidRPr="00507D71">
              <w:rPr>
                <w:rFonts w:asciiTheme="minorHAnsi" w:hAnsiTheme="minorHAnsi"/>
                <w:b/>
                <w:sz w:val="24"/>
                <w:szCs w:val="24"/>
              </w:rPr>
              <w:lastRenderedPageBreak/>
              <w:t>Pre - transplant where donor specific antibody/</w:t>
            </w:r>
            <w:r>
              <w:rPr>
                <w:rFonts w:asciiTheme="minorHAnsi" w:hAnsiTheme="minorHAnsi"/>
                <w:b/>
                <w:sz w:val="24"/>
                <w:szCs w:val="24"/>
              </w:rPr>
              <w:t>antibod</w:t>
            </w:r>
            <w:r w:rsidRPr="00507D71">
              <w:rPr>
                <w:rFonts w:asciiTheme="minorHAnsi" w:hAnsiTheme="minorHAnsi"/>
                <w:b/>
                <w:sz w:val="24"/>
                <w:szCs w:val="24"/>
              </w:rPr>
              <w:t>ies prevent transplantation (HLA or anti-blood group) in highly sensitised patients</w:t>
            </w:r>
          </w:p>
          <w:p w14:paraId="712F3662" w14:textId="77777777" w:rsidR="009E7EA5" w:rsidRPr="00507D71" w:rsidRDefault="009E7EA5" w:rsidP="00066C31">
            <w:pPr>
              <w:rPr>
                <w:rFonts w:asciiTheme="minorHAnsi" w:hAnsiTheme="minorHAnsi"/>
                <w:b/>
                <w:sz w:val="24"/>
                <w:szCs w:val="24"/>
              </w:rPr>
            </w:pPr>
          </w:p>
          <w:p w14:paraId="3B463F1E" w14:textId="77777777" w:rsidR="009E7EA5" w:rsidRPr="00507D71" w:rsidRDefault="009E7EA5" w:rsidP="00066C31">
            <w:pPr>
              <w:rPr>
                <w:rFonts w:asciiTheme="minorHAnsi" w:hAnsiTheme="minorHAnsi"/>
                <w:b/>
                <w:i/>
                <w:iCs/>
                <w:color w:val="243F60" w:themeColor="accent1" w:themeShade="7F"/>
                <w:sz w:val="24"/>
                <w:szCs w:val="24"/>
              </w:rPr>
            </w:pPr>
            <w:r w:rsidRPr="00507D71">
              <w:rPr>
                <w:rFonts w:asciiTheme="minorHAnsi" w:hAnsiTheme="minorHAnsi"/>
                <w:b/>
                <w:sz w:val="24"/>
                <w:szCs w:val="24"/>
              </w:rPr>
              <w:t>Post-transplant - acute anti-body mediated rejection with clinical evidence of graft dysfunction</w:t>
            </w:r>
          </w:p>
          <w:p w14:paraId="10F042EF" w14:textId="77777777" w:rsidR="009E7EA5" w:rsidRPr="00507D71" w:rsidRDefault="009E7EA5" w:rsidP="00066C31">
            <w:pPr>
              <w:rPr>
                <w:rFonts w:asciiTheme="minorHAnsi" w:hAnsiTheme="minorHAnsi"/>
                <w:b/>
                <w:sz w:val="24"/>
                <w:szCs w:val="24"/>
              </w:rPr>
            </w:pPr>
          </w:p>
          <w:p w14:paraId="6C4486EA" w14:textId="77777777" w:rsidR="009E7EA5" w:rsidRPr="00507D71" w:rsidRDefault="009E7EA5" w:rsidP="00066C31">
            <w:pPr>
              <w:rPr>
                <w:rFonts w:asciiTheme="minorHAnsi" w:hAnsiTheme="minorHAnsi"/>
                <w:b/>
                <w:i/>
                <w:iCs/>
                <w:color w:val="243F60" w:themeColor="accent1" w:themeShade="7F"/>
                <w:sz w:val="24"/>
                <w:szCs w:val="24"/>
              </w:rPr>
            </w:pPr>
            <w:r w:rsidRPr="00507D71">
              <w:rPr>
                <w:rFonts w:asciiTheme="minorHAnsi" w:hAnsiTheme="minorHAnsi"/>
                <w:b/>
                <w:sz w:val="24"/>
                <w:szCs w:val="24"/>
              </w:rPr>
              <w:t>Treatment or prevention of graft rejection where conventional immunosuppressive therapies is contraindicated or pose a threat to the graft or patient</w:t>
            </w:r>
          </w:p>
          <w:p w14:paraId="1BF8B2C6" w14:textId="77777777" w:rsidR="009E7EA5" w:rsidRPr="00507D71" w:rsidRDefault="009E7EA5" w:rsidP="00066C31">
            <w:pPr>
              <w:spacing w:after="225" w:line="360" w:lineRule="atLeast"/>
              <w:rPr>
                <w:rFonts w:asciiTheme="minorHAnsi" w:eastAsia="Times New Roman" w:hAnsiTheme="minorHAnsi" w:cs="Times New Roman"/>
                <w:b/>
                <w:bCs/>
                <w:color w:val="000000"/>
                <w:sz w:val="24"/>
                <w:szCs w:val="24"/>
                <w:lang w:eastAsia="en-AU"/>
              </w:rPr>
            </w:pPr>
          </w:p>
        </w:tc>
        <w:tc>
          <w:tcPr>
            <w:tcW w:w="4110" w:type="dxa"/>
          </w:tcPr>
          <w:p w14:paraId="2EEF21D5" w14:textId="13328BFA" w:rsidR="009E7EA5" w:rsidRPr="00507D71" w:rsidRDefault="009E7EA5" w:rsidP="00066C31">
            <w:pPr>
              <w:rPr>
                <w:rFonts w:asciiTheme="minorHAnsi" w:hAnsiTheme="minorHAnsi"/>
                <w:sz w:val="24"/>
                <w:szCs w:val="24"/>
              </w:rPr>
            </w:pPr>
            <w:r>
              <w:rPr>
                <w:rFonts w:asciiTheme="minorHAnsi" w:hAnsiTheme="minorHAnsi"/>
                <w:sz w:val="24"/>
                <w:szCs w:val="24"/>
              </w:rPr>
              <w:lastRenderedPageBreak/>
              <w:t>Indications are consistent with kidney transplantation and existing criteria</w:t>
            </w:r>
            <w:r w:rsidR="000B0EC9">
              <w:rPr>
                <w:rFonts w:asciiTheme="minorHAnsi" w:hAnsiTheme="minorHAnsi"/>
                <w:sz w:val="24"/>
                <w:szCs w:val="24"/>
              </w:rPr>
              <w:t xml:space="preserve"> for this condition</w:t>
            </w:r>
            <w:r w:rsidRPr="00315196">
              <w:rPr>
                <w:sz w:val="24"/>
                <w:szCs w:val="24"/>
              </w:rPr>
              <w:t>.</w:t>
            </w:r>
          </w:p>
        </w:tc>
      </w:tr>
      <w:tr w:rsidR="009E7EA5" w:rsidRPr="00507D71" w14:paraId="7F82C186" w14:textId="77777777" w:rsidTr="00784EBB">
        <w:tc>
          <w:tcPr>
            <w:tcW w:w="1242" w:type="dxa"/>
            <w:shd w:val="clear" w:color="auto" w:fill="D9D9D9" w:themeFill="background1" w:themeFillShade="D9"/>
          </w:tcPr>
          <w:p w14:paraId="5A793DC9"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lastRenderedPageBreak/>
              <w:t>Qualifying Criteria</w:t>
            </w:r>
          </w:p>
        </w:tc>
        <w:tc>
          <w:tcPr>
            <w:tcW w:w="4253" w:type="dxa"/>
          </w:tcPr>
          <w:p w14:paraId="784425C0" w14:textId="77777777" w:rsidR="009E7EA5" w:rsidRPr="00507D71" w:rsidRDefault="009E7EA5" w:rsidP="00066C31">
            <w:pPr>
              <w:rPr>
                <w:rFonts w:asciiTheme="minorHAnsi" w:hAnsiTheme="minorHAnsi"/>
                <w:sz w:val="24"/>
                <w:szCs w:val="24"/>
              </w:rPr>
            </w:pPr>
          </w:p>
        </w:tc>
        <w:tc>
          <w:tcPr>
            <w:tcW w:w="4678" w:type="dxa"/>
            <w:gridSpan w:val="3"/>
          </w:tcPr>
          <w:p w14:paraId="69693FDE" w14:textId="018887D6" w:rsidR="009E7EA5" w:rsidRPr="00533723" w:rsidRDefault="009E7EA5" w:rsidP="00066C31">
            <w:pPr>
              <w:rPr>
                <w:rFonts w:asciiTheme="minorHAnsi" w:hAnsiTheme="minorHAnsi"/>
                <w:b/>
                <w:i/>
                <w:iCs/>
                <w:color w:val="243F60" w:themeColor="accent1" w:themeShade="7F"/>
                <w:sz w:val="24"/>
                <w:szCs w:val="24"/>
              </w:rPr>
            </w:pPr>
            <w:r w:rsidRPr="00533723">
              <w:rPr>
                <w:rFonts w:asciiTheme="minorHAnsi" w:hAnsiTheme="minorHAnsi"/>
                <w:b/>
                <w:sz w:val="24"/>
                <w:szCs w:val="24"/>
              </w:rPr>
              <w:t>Pre - transplant where donor specific antibody/antibodies prevent transplantation (HLA and/or anti-blood group)</w:t>
            </w:r>
          </w:p>
          <w:p w14:paraId="05C41114" w14:textId="77777777" w:rsidR="009E7EA5" w:rsidRPr="00533723" w:rsidRDefault="009E7EA5" w:rsidP="00066C31">
            <w:pPr>
              <w:rPr>
                <w:rFonts w:asciiTheme="minorHAnsi" w:hAnsiTheme="minorHAnsi"/>
                <w:b/>
                <w:sz w:val="24"/>
                <w:szCs w:val="24"/>
              </w:rPr>
            </w:pPr>
          </w:p>
          <w:p w14:paraId="384C0A47" w14:textId="71F75D7C" w:rsidR="009E7EA5" w:rsidRPr="00F16E31" w:rsidRDefault="009E7EA5" w:rsidP="00066C31">
            <w:pPr>
              <w:pStyle w:val="ListParagraph"/>
              <w:numPr>
                <w:ilvl w:val="0"/>
                <w:numId w:val="41"/>
              </w:numPr>
              <w:rPr>
                <w:sz w:val="24"/>
                <w:szCs w:val="24"/>
              </w:rPr>
            </w:pPr>
            <w:r w:rsidRPr="00F16E31">
              <w:rPr>
                <w:sz w:val="24"/>
                <w:szCs w:val="24"/>
              </w:rPr>
              <w:t>ABO incompatible transplant planned with or without HLA antibody or antibodies (</w:t>
            </w:r>
            <w:r w:rsidR="00A410B1" w:rsidRPr="00F16E31">
              <w:rPr>
                <w:sz w:val="24"/>
                <w:szCs w:val="24"/>
              </w:rPr>
              <w:t>at least</w:t>
            </w:r>
            <w:r w:rsidRPr="00F16E31">
              <w:rPr>
                <w:sz w:val="24"/>
                <w:szCs w:val="24"/>
              </w:rPr>
              <w:t xml:space="preserve"> 500 MFI) p</w:t>
            </w:r>
            <w:r w:rsidR="00F16E31">
              <w:rPr>
                <w:sz w:val="24"/>
                <w:szCs w:val="24"/>
              </w:rPr>
              <w:t>reventing organ transplantation</w:t>
            </w:r>
            <w:r w:rsidRPr="00F16E31">
              <w:rPr>
                <w:sz w:val="24"/>
                <w:szCs w:val="24"/>
              </w:rPr>
              <w:t xml:space="preserve">. </w:t>
            </w:r>
          </w:p>
          <w:p w14:paraId="6280E1FC" w14:textId="77777777" w:rsidR="009E7EA5" w:rsidRPr="00F16E31" w:rsidRDefault="009E7EA5" w:rsidP="00066C31">
            <w:pPr>
              <w:rPr>
                <w:rFonts w:asciiTheme="minorHAnsi" w:hAnsiTheme="minorHAnsi"/>
                <w:sz w:val="24"/>
                <w:szCs w:val="24"/>
              </w:rPr>
            </w:pPr>
          </w:p>
          <w:p w14:paraId="056A699A" w14:textId="3AF83DB4" w:rsidR="009E7EA5" w:rsidRPr="00533723" w:rsidRDefault="009E7EA5" w:rsidP="00066C31">
            <w:pPr>
              <w:spacing w:before="100" w:beforeAutospacing="1" w:after="150" w:line="276" w:lineRule="auto"/>
              <w:rPr>
                <w:rFonts w:asciiTheme="minorHAnsi" w:hAnsiTheme="minorHAnsi"/>
                <w:b/>
                <w:sz w:val="24"/>
                <w:szCs w:val="24"/>
              </w:rPr>
            </w:pPr>
            <w:r w:rsidRPr="00533723">
              <w:rPr>
                <w:rFonts w:asciiTheme="minorHAnsi" w:hAnsiTheme="minorHAnsi"/>
                <w:b/>
                <w:sz w:val="24"/>
                <w:szCs w:val="24"/>
              </w:rPr>
              <w:t>Post-transplant - active acute antibody mediated rejection</w:t>
            </w:r>
          </w:p>
          <w:p w14:paraId="6BC39368" w14:textId="2EDCB020" w:rsidR="009E7EA5" w:rsidRPr="00896D1D" w:rsidRDefault="009E7EA5" w:rsidP="00066C31">
            <w:pPr>
              <w:pStyle w:val="ListParagraph"/>
              <w:numPr>
                <w:ilvl w:val="0"/>
                <w:numId w:val="41"/>
              </w:numPr>
              <w:rPr>
                <w:sz w:val="24"/>
                <w:szCs w:val="24"/>
              </w:rPr>
            </w:pPr>
            <w:r w:rsidRPr="00F16E31">
              <w:rPr>
                <w:sz w:val="24"/>
                <w:szCs w:val="24"/>
              </w:rPr>
              <w:t xml:space="preserve">Presence of incompatible ABO blood group </w:t>
            </w:r>
            <w:r w:rsidRPr="00896D1D">
              <w:rPr>
                <w:sz w:val="24"/>
                <w:szCs w:val="24"/>
              </w:rPr>
              <w:t xml:space="preserve">donor specific antibody/antibodies and/or donor specific HLA antibody / antibodies (at least 500 MFI) </w:t>
            </w:r>
          </w:p>
          <w:p w14:paraId="48FAF0B2" w14:textId="77777777" w:rsidR="009E7EA5" w:rsidRPr="00A74878" w:rsidRDefault="009E7EA5" w:rsidP="00066C31">
            <w:pPr>
              <w:rPr>
                <w:rFonts w:asciiTheme="minorHAnsi" w:eastAsia="Times New Roman" w:hAnsiTheme="minorHAnsi" w:cs="Times New Roman"/>
                <w:color w:val="000000"/>
                <w:sz w:val="24"/>
                <w:szCs w:val="24"/>
                <w:lang w:eastAsia="en-AU"/>
              </w:rPr>
            </w:pPr>
          </w:p>
          <w:p w14:paraId="5DF0B680" w14:textId="77777777" w:rsidR="009E7EA5" w:rsidRPr="00A74878" w:rsidRDefault="009E7EA5" w:rsidP="00066C31">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AND </w:t>
            </w:r>
          </w:p>
          <w:p w14:paraId="76964488" w14:textId="77777777" w:rsidR="009E7EA5" w:rsidRPr="00A74878" w:rsidRDefault="009E7EA5" w:rsidP="00066C31">
            <w:pPr>
              <w:rPr>
                <w:rFonts w:asciiTheme="minorHAnsi" w:eastAsia="Times New Roman" w:hAnsiTheme="minorHAnsi" w:cs="Times New Roman"/>
                <w:color w:val="000000"/>
                <w:sz w:val="24"/>
                <w:szCs w:val="24"/>
                <w:lang w:eastAsia="en-AU"/>
              </w:rPr>
            </w:pPr>
          </w:p>
          <w:p w14:paraId="32C89432" w14:textId="77777777" w:rsidR="009E7EA5" w:rsidRPr="00F16E31" w:rsidRDefault="009E7EA5" w:rsidP="00066C31">
            <w:pPr>
              <w:pStyle w:val="ListParagraph"/>
              <w:numPr>
                <w:ilvl w:val="0"/>
                <w:numId w:val="41"/>
              </w:numPr>
              <w:rPr>
                <w:rFonts w:asciiTheme="minorHAnsi" w:eastAsia="Times New Roman" w:hAnsiTheme="minorHAnsi" w:cs="Times New Roman"/>
                <w:color w:val="000000"/>
                <w:sz w:val="24"/>
                <w:szCs w:val="24"/>
                <w:lang w:eastAsia="en-AU"/>
              </w:rPr>
            </w:pPr>
            <w:r w:rsidRPr="00F16E31">
              <w:rPr>
                <w:rFonts w:asciiTheme="minorHAnsi" w:eastAsia="Times New Roman" w:hAnsiTheme="minorHAnsi" w:cs="Times New Roman"/>
                <w:color w:val="000000"/>
                <w:sz w:val="24"/>
                <w:szCs w:val="24"/>
                <w:lang w:eastAsia="en-AU"/>
              </w:rPr>
              <w:t xml:space="preserve">Current clinical and laboratory evidence of graft dysfunction where biopsy not available </w:t>
            </w:r>
          </w:p>
          <w:p w14:paraId="66196752" w14:textId="77777777" w:rsidR="00533723" w:rsidRPr="00A74878" w:rsidRDefault="00533723" w:rsidP="00066C31">
            <w:pPr>
              <w:rPr>
                <w:rFonts w:asciiTheme="minorHAnsi" w:eastAsia="Times New Roman" w:hAnsiTheme="minorHAnsi" w:cs="Times New Roman"/>
                <w:color w:val="000000"/>
                <w:sz w:val="24"/>
                <w:szCs w:val="24"/>
                <w:lang w:eastAsia="en-AU"/>
              </w:rPr>
            </w:pPr>
          </w:p>
          <w:p w14:paraId="53EA14F5" w14:textId="77777777" w:rsidR="009E7EA5" w:rsidRPr="00A74878" w:rsidRDefault="009E7EA5" w:rsidP="00066C31">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OR </w:t>
            </w:r>
          </w:p>
          <w:p w14:paraId="5632F031" w14:textId="77777777" w:rsidR="009E7EA5" w:rsidRPr="00F16E31" w:rsidRDefault="009E7EA5" w:rsidP="00066C31">
            <w:pPr>
              <w:pStyle w:val="ListParagraph"/>
              <w:numPr>
                <w:ilvl w:val="0"/>
                <w:numId w:val="41"/>
              </w:numPr>
              <w:rPr>
                <w:rFonts w:asciiTheme="minorHAnsi" w:eastAsia="Times New Roman" w:hAnsiTheme="minorHAnsi" w:cs="Times New Roman"/>
                <w:color w:val="000000"/>
                <w:sz w:val="24"/>
                <w:szCs w:val="24"/>
                <w:lang w:eastAsia="en-AU"/>
              </w:rPr>
            </w:pPr>
            <w:r w:rsidRPr="00F16E31">
              <w:rPr>
                <w:rFonts w:asciiTheme="minorHAnsi" w:eastAsia="Times New Roman" w:hAnsiTheme="minorHAnsi" w:cs="Times New Roman"/>
                <w:color w:val="000000"/>
                <w:sz w:val="24"/>
                <w:szCs w:val="24"/>
                <w:lang w:eastAsia="en-AU"/>
              </w:rPr>
              <w:t>Organ biopsy demonstrates antibody mediated rejection according to Banff or IHSLT criteria</w:t>
            </w:r>
            <w:r w:rsidRPr="00F16E31">
              <w:rPr>
                <w:rFonts w:asciiTheme="minorHAnsi" w:eastAsia="Times New Roman" w:hAnsiTheme="minorHAnsi" w:cs="Times New Roman"/>
                <w:color w:val="000000"/>
                <w:sz w:val="24"/>
                <w:szCs w:val="24"/>
                <w:vertAlign w:val="superscript"/>
                <w:lang w:eastAsia="en-AU"/>
              </w:rPr>
              <w:t>1</w:t>
            </w:r>
          </w:p>
          <w:p w14:paraId="779DACD2" w14:textId="77777777" w:rsidR="00533723" w:rsidRDefault="00533723" w:rsidP="00066C31">
            <w:pPr>
              <w:rPr>
                <w:rFonts w:asciiTheme="minorHAnsi" w:eastAsia="Times New Roman" w:hAnsiTheme="minorHAnsi" w:cs="Times New Roman"/>
                <w:color w:val="000000"/>
                <w:sz w:val="24"/>
                <w:szCs w:val="24"/>
                <w:lang w:eastAsia="en-AU"/>
              </w:rPr>
            </w:pPr>
          </w:p>
          <w:p w14:paraId="7B3564EF" w14:textId="77777777" w:rsidR="009E7EA5" w:rsidRDefault="009E7EA5" w:rsidP="00066C31">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OR</w:t>
            </w:r>
          </w:p>
          <w:p w14:paraId="7D4A7DFA" w14:textId="77777777" w:rsidR="009E7EA5" w:rsidRPr="00F16E31" w:rsidRDefault="009E7EA5" w:rsidP="00066C31">
            <w:pPr>
              <w:pStyle w:val="ListParagraph"/>
              <w:numPr>
                <w:ilvl w:val="0"/>
                <w:numId w:val="41"/>
              </w:numPr>
              <w:rPr>
                <w:rFonts w:asciiTheme="minorHAnsi" w:eastAsia="Times New Roman" w:hAnsiTheme="minorHAnsi" w:cs="Times New Roman"/>
                <w:color w:val="000000"/>
                <w:sz w:val="24"/>
                <w:szCs w:val="24"/>
                <w:lang w:eastAsia="en-AU"/>
              </w:rPr>
            </w:pPr>
            <w:r w:rsidRPr="00F16E31">
              <w:rPr>
                <w:rFonts w:asciiTheme="minorHAnsi" w:eastAsia="Times New Roman" w:hAnsiTheme="minorHAnsi" w:cs="Times New Roman"/>
                <w:color w:val="000000"/>
                <w:sz w:val="24"/>
                <w:szCs w:val="24"/>
                <w:lang w:eastAsia="en-AU"/>
              </w:rPr>
              <w:t>There is a high clinical suspicion that it is antibody mediated rejection and evidence not yet available (one-off request in early period of acute rejection).</w:t>
            </w:r>
          </w:p>
          <w:p w14:paraId="2DCFCC78" w14:textId="77777777" w:rsidR="009E7EA5" w:rsidRDefault="009E7EA5" w:rsidP="00066C31">
            <w:pPr>
              <w:rPr>
                <w:rFonts w:asciiTheme="minorHAnsi" w:hAnsiTheme="minorHAnsi"/>
                <w:sz w:val="24"/>
                <w:szCs w:val="24"/>
              </w:rPr>
            </w:pPr>
          </w:p>
          <w:p w14:paraId="17E3D9C2" w14:textId="35774A39" w:rsidR="009E7EA5" w:rsidRPr="00A74878" w:rsidRDefault="009E7EA5" w:rsidP="00066C31">
            <w:pPr>
              <w:rPr>
                <w:rFonts w:asciiTheme="minorHAnsi" w:eastAsia="Times New Roman" w:hAnsiTheme="minorHAnsi" w:cs="Times New Roman"/>
                <w:color w:val="000000"/>
                <w:sz w:val="24"/>
                <w:szCs w:val="24"/>
                <w:lang w:eastAsia="en-AU"/>
              </w:rPr>
            </w:pPr>
            <w:r w:rsidRPr="00896D1D">
              <w:rPr>
                <w:rFonts w:asciiTheme="minorHAnsi" w:eastAsia="Times New Roman" w:hAnsiTheme="minorHAnsi" w:cs="Times New Roman"/>
                <w:color w:val="000000"/>
                <w:sz w:val="24"/>
                <w:szCs w:val="24"/>
                <w:lang w:eastAsia="en-AU"/>
              </w:rPr>
              <w:t xml:space="preserve">For </w:t>
            </w:r>
            <w:r w:rsidR="00533723" w:rsidRPr="00896D1D">
              <w:rPr>
                <w:rFonts w:asciiTheme="minorHAnsi" w:eastAsia="Times New Roman" w:hAnsiTheme="minorHAnsi" w:cs="Times New Roman"/>
                <w:color w:val="000000"/>
                <w:sz w:val="24"/>
                <w:szCs w:val="24"/>
                <w:lang w:eastAsia="en-AU"/>
              </w:rPr>
              <w:t xml:space="preserve">a </w:t>
            </w:r>
            <w:r w:rsidRPr="00896D1D">
              <w:rPr>
                <w:rFonts w:asciiTheme="minorHAnsi" w:eastAsia="Times New Roman" w:hAnsiTheme="minorHAnsi" w:cs="Times New Roman"/>
                <w:color w:val="000000"/>
                <w:sz w:val="24"/>
                <w:szCs w:val="24"/>
                <w:lang w:eastAsia="en-AU"/>
              </w:rPr>
              <w:t>2</w:t>
            </w:r>
            <w:r w:rsidRPr="00896D1D">
              <w:rPr>
                <w:rFonts w:asciiTheme="minorHAnsi" w:eastAsia="Times New Roman" w:hAnsiTheme="minorHAnsi" w:cs="Times New Roman"/>
                <w:color w:val="000000"/>
                <w:sz w:val="24"/>
                <w:szCs w:val="24"/>
                <w:vertAlign w:val="superscript"/>
                <w:lang w:eastAsia="en-AU"/>
              </w:rPr>
              <w:t>nd</w:t>
            </w:r>
            <w:r w:rsidRPr="00896D1D">
              <w:rPr>
                <w:rFonts w:asciiTheme="minorHAnsi" w:eastAsia="Times New Roman" w:hAnsiTheme="minorHAnsi" w:cs="Times New Roman"/>
                <w:color w:val="000000"/>
                <w:sz w:val="24"/>
                <w:szCs w:val="24"/>
                <w:lang w:eastAsia="en-AU"/>
              </w:rPr>
              <w:t xml:space="preserve"> dose, D</w:t>
            </w:r>
            <w:r w:rsidR="00533723" w:rsidRPr="00896D1D">
              <w:rPr>
                <w:rFonts w:asciiTheme="minorHAnsi" w:eastAsia="Times New Roman" w:hAnsiTheme="minorHAnsi" w:cs="Times New Roman"/>
                <w:color w:val="000000"/>
                <w:sz w:val="24"/>
                <w:szCs w:val="24"/>
                <w:lang w:eastAsia="en-AU"/>
              </w:rPr>
              <w:t xml:space="preserve">onor Specific </w:t>
            </w:r>
            <w:r w:rsidRPr="00896D1D">
              <w:rPr>
                <w:rFonts w:asciiTheme="minorHAnsi" w:eastAsia="Times New Roman" w:hAnsiTheme="minorHAnsi" w:cs="Times New Roman"/>
                <w:color w:val="000000"/>
                <w:sz w:val="24"/>
                <w:szCs w:val="24"/>
                <w:lang w:eastAsia="en-AU"/>
              </w:rPr>
              <w:t>A</w:t>
            </w:r>
            <w:r w:rsidR="00533723" w:rsidRPr="00896D1D">
              <w:rPr>
                <w:rFonts w:asciiTheme="minorHAnsi" w:eastAsia="Times New Roman" w:hAnsiTheme="minorHAnsi" w:cs="Times New Roman"/>
                <w:color w:val="000000"/>
                <w:sz w:val="24"/>
                <w:szCs w:val="24"/>
                <w:lang w:eastAsia="en-AU"/>
              </w:rPr>
              <w:t>ntibody(ies)</w:t>
            </w:r>
            <w:r w:rsidRPr="00896D1D">
              <w:rPr>
                <w:rFonts w:asciiTheme="minorHAnsi" w:eastAsia="Times New Roman" w:hAnsiTheme="minorHAnsi" w:cs="Times New Roman"/>
                <w:color w:val="000000"/>
                <w:sz w:val="24"/>
                <w:szCs w:val="24"/>
                <w:lang w:eastAsia="en-AU"/>
              </w:rPr>
              <w:t xml:space="preserve"> must be proven and biopsy must be abnormal but may not yet be diagnostic</w:t>
            </w:r>
            <w:r w:rsidR="00533723" w:rsidRPr="00896D1D">
              <w:rPr>
                <w:rFonts w:asciiTheme="minorHAnsi" w:eastAsia="Times New Roman" w:hAnsiTheme="minorHAnsi" w:cs="Times New Roman"/>
                <w:color w:val="000000"/>
                <w:sz w:val="24"/>
                <w:szCs w:val="24"/>
                <w:lang w:eastAsia="en-AU"/>
              </w:rPr>
              <w:t xml:space="preserve"> meeting all of the IHSLT</w:t>
            </w:r>
            <w:r w:rsidR="00533723" w:rsidRPr="00896D1D">
              <w:rPr>
                <w:rFonts w:asciiTheme="minorHAnsi" w:eastAsia="Times New Roman" w:hAnsiTheme="minorHAnsi" w:cs="Times New Roman"/>
                <w:color w:val="000000"/>
                <w:sz w:val="24"/>
                <w:szCs w:val="24"/>
                <w:vertAlign w:val="superscript"/>
                <w:lang w:eastAsia="en-AU"/>
              </w:rPr>
              <w:t>1</w:t>
            </w:r>
            <w:r w:rsidR="00533723" w:rsidRPr="00896D1D">
              <w:rPr>
                <w:rFonts w:asciiTheme="minorHAnsi" w:eastAsia="Times New Roman" w:hAnsiTheme="minorHAnsi" w:cs="Times New Roman"/>
                <w:color w:val="000000"/>
                <w:sz w:val="24"/>
                <w:szCs w:val="24"/>
                <w:lang w:eastAsia="en-AU"/>
              </w:rPr>
              <w:t xml:space="preserve"> criteria</w:t>
            </w:r>
            <w:r w:rsidRPr="00896D1D">
              <w:rPr>
                <w:rFonts w:asciiTheme="minorHAnsi" w:eastAsia="Times New Roman" w:hAnsiTheme="minorHAnsi" w:cs="Times New Roman"/>
                <w:color w:val="000000"/>
                <w:sz w:val="24"/>
                <w:szCs w:val="24"/>
                <w:lang w:eastAsia="en-AU"/>
              </w:rPr>
              <w:t xml:space="preserve">. For subsequent doses, </w:t>
            </w:r>
            <w:r w:rsidR="00533723" w:rsidRPr="00896D1D">
              <w:rPr>
                <w:rFonts w:asciiTheme="minorHAnsi" w:eastAsia="Times New Roman" w:hAnsiTheme="minorHAnsi" w:cs="Times New Roman"/>
                <w:color w:val="000000"/>
                <w:sz w:val="24"/>
                <w:szCs w:val="24"/>
                <w:lang w:eastAsia="en-AU"/>
              </w:rPr>
              <w:t xml:space="preserve">all </w:t>
            </w:r>
            <w:r w:rsidRPr="00896D1D">
              <w:rPr>
                <w:rFonts w:asciiTheme="minorHAnsi" w:eastAsia="Times New Roman" w:hAnsiTheme="minorHAnsi" w:cs="Times New Roman"/>
                <w:color w:val="000000"/>
                <w:sz w:val="24"/>
                <w:szCs w:val="24"/>
                <w:lang w:eastAsia="en-AU"/>
              </w:rPr>
              <w:t>IHSLT criteria on biopsy must be met.</w:t>
            </w:r>
            <w:r w:rsidRPr="00A74878">
              <w:rPr>
                <w:rFonts w:asciiTheme="minorHAnsi" w:eastAsia="Times New Roman" w:hAnsiTheme="minorHAnsi" w:cs="Times New Roman"/>
                <w:color w:val="000000"/>
                <w:sz w:val="24"/>
                <w:szCs w:val="24"/>
                <w:lang w:eastAsia="en-AU"/>
              </w:rPr>
              <w:t xml:space="preserve"> </w:t>
            </w:r>
          </w:p>
          <w:p w14:paraId="1B25A9DE" w14:textId="77777777" w:rsidR="009E7EA5" w:rsidRPr="00507D71" w:rsidRDefault="009E7EA5" w:rsidP="00066C31">
            <w:pPr>
              <w:rPr>
                <w:rFonts w:asciiTheme="minorHAnsi" w:hAnsiTheme="minorHAnsi"/>
                <w:sz w:val="24"/>
                <w:szCs w:val="24"/>
              </w:rPr>
            </w:pPr>
          </w:p>
          <w:p w14:paraId="0EF25A94" w14:textId="77777777" w:rsidR="009E7EA5" w:rsidRPr="00533723" w:rsidRDefault="009E7EA5" w:rsidP="00066C31">
            <w:pPr>
              <w:widowControl w:val="0"/>
              <w:autoSpaceDE w:val="0"/>
              <w:autoSpaceDN w:val="0"/>
              <w:adjustRightInd w:val="0"/>
              <w:rPr>
                <w:rFonts w:asciiTheme="minorHAnsi" w:eastAsiaTheme="minorHAnsi" w:hAnsiTheme="minorHAnsi" w:cs="Times New Roman"/>
                <w:i/>
                <w:sz w:val="24"/>
                <w:szCs w:val="24"/>
                <w:lang w:val="en-US"/>
              </w:rPr>
            </w:pPr>
            <w:r w:rsidRPr="00507D71">
              <w:rPr>
                <w:rFonts w:asciiTheme="minorHAnsi" w:hAnsiTheme="minorHAnsi"/>
                <w:b/>
                <w:sz w:val="24"/>
                <w:szCs w:val="24"/>
                <w:vertAlign w:val="superscript"/>
              </w:rPr>
              <w:t xml:space="preserve">1 </w:t>
            </w:r>
            <w:r w:rsidRPr="00533723">
              <w:rPr>
                <w:rFonts w:asciiTheme="minorHAnsi" w:eastAsiaTheme="minorHAnsi" w:hAnsiTheme="minorHAnsi" w:cs="Times New Roman"/>
                <w:i/>
                <w:sz w:val="24"/>
                <w:szCs w:val="24"/>
                <w:lang w:val="en-US"/>
              </w:rPr>
              <w:t xml:space="preserve">The ISHLT working formulation for pathologic diagnosis of antibody-mediated rejection in heart transplantation: </w:t>
            </w:r>
          </w:p>
          <w:p w14:paraId="0289AAB3" w14:textId="77777777" w:rsidR="009E7EA5" w:rsidRPr="00533723" w:rsidRDefault="009E7EA5" w:rsidP="00066C31">
            <w:pPr>
              <w:rPr>
                <w:rFonts w:asciiTheme="minorHAnsi" w:eastAsiaTheme="minorHAnsi" w:hAnsiTheme="minorHAnsi" w:cs="Times New Roman"/>
                <w:i/>
                <w:sz w:val="24"/>
                <w:szCs w:val="24"/>
                <w:lang w:val="en-US"/>
              </w:rPr>
            </w:pPr>
            <w:r w:rsidRPr="00533723">
              <w:rPr>
                <w:rFonts w:asciiTheme="minorHAnsi" w:eastAsiaTheme="minorHAnsi" w:hAnsiTheme="minorHAnsi" w:cs="Times New Roman"/>
                <w:i/>
                <w:sz w:val="24"/>
                <w:szCs w:val="24"/>
                <w:lang w:val="en-US"/>
              </w:rPr>
              <w:t xml:space="preserve">Evolution and current status (2005–2011) Berry et al </w:t>
            </w:r>
            <w:r w:rsidRPr="00533723">
              <w:rPr>
                <w:rFonts w:asciiTheme="minorHAnsi" w:hAnsiTheme="minorHAnsi"/>
                <w:i/>
                <w:sz w:val="24"/>
                <w:szCs w:val="24"/>
              </w:rPr>
              <w:t xml:space="preserve">JHLT </w:t>
            </w:r>
            <w:r w:rsidRPr="00533723">
              <w:rPr>
                <w:rFonts w:asciiTheme="minorHAnsi" w:eastAsiaTheme="minorHAnsi" w:hAnsiTheme="minorHAnsi" w:cs="Times New Roman"/>
                <w:i/>
                <w:sz w:val="24"/>
                <w:szCs w:val="24"/>
                <w:lang w:val="en-US"/>
              </w:rPr>
              <w:t xml:space="preserve">2011. </w:t>
            </w:r>
          </w:p>
          <w:p w14:paraId="76663AB7" w14:textId="77777777" w:rsidR="009E7EA5" w:rsidRPr="00507D71" w:rsidRDefault="009E7EA5" w:rsidP="00066C31">
            <w:pPr>
              <w:rPr>
                <w:rFonts w:asciiTheme="minorHAnsi" w:eastAsiaTheme="minorHAnsi" w:hAnsiTheme="minorHAnsi" w:cs="Times New Roman"/>
                <w:sz w:val="24"/>
                <w:szCs w:val="24"/>
                <w:lang w:val="en-US"/>
              </w:rPr>
            </w:pPr>
          </w:p>
          <w:p w14:paraId="4AE76655" w14:textId="77777777" w:rsidR="009E7EA5" w:rsidRPr="00507D71" w:rsidRDefault="009E7EA5" w:rsidP="00066C31">
            <w:pPr>
              <w:rPr>
                <w:rFonts w:asciiTheme="minorHAnsi" w:hAnsiTheme="minorHAnsi"/>
                <w:sz w:val="24"/>
                <w:szCs w:val="24"/>
              </w:rPr>
            </w:pPr>
          </w:p>
          <w:p w14:paraId="2A4DB25B" w14:textId="77777777" w:rsidR="009E7EA5" w:rsidRPr="00507D71" w:rsidRDefault="009E7EA5" w:rsidP="00066C31">
            <w:pPr>
              <w:rPr>
                <w:rFonts w:asciiTheme="minorHAnsi" w:hAnsiTheme="minorHAnsi"/>
                <w:b/>
                <w:i/>
                <w:iCs/>
                <w:color w:val="243F60" w:themeColor="accent1" w:themeShade="7F"/>
                <w:sz w:val="24"/>
                <w:szCs w:val="24"/>
              </w:rPr>
            </w:pPr>
            <w:r w:rsidRPr="00507D71">
              <w:rPr>
                <w:rFonts w:asciiTheme="minorHAnsi" w:hAnsiTheme="minorHAnsi"/>
                <w:b/>
                <w:sz w:val="24"/>
                <w:szCs w:val="24"/>
              </w:rPr>
              <w:lastRenderedPageBreak/>
              <w:t>Treatment or prevention of graft rejection where conventional immunosuppressive therapies is contraindicated or pose a threat to the graft or patient</w:t>
            </w:r>
          </w:p>
          <w:p w14:paraId="01C020FB" w14:textId="77777777" w:rsidR="009E7EA5" w:rsidRPr="00507D71" w:rsidRDefault="009E7EA5" w:rsidP="00066C31">
            <w:pPr>
              <w:rPr>
                <w:rFonts w:asciiTheme="minorHAnsi" w:hAnsiTheme="minorHAnsi"/>
                <w:b/>
                <w:sz w:val="24"/>
                <w:szCs w:val="24"/>
              </w:rPr>
            </w:pPr>
          </w:p>
          <w:p w14:paraId="42BE0172" w14:textId="77777777" w:rsidR="009E7EA5" w:rsidRPr="00507D71" w:rsidRDefault="009E7EA5" w:rsidP="00066C31">
            <w:pPr>
              <w:rPr>
                <w:rFonts w:asciiTheme="minorHAnsi" w:hAnsiTheme="minorHAnsi"/>
                <w:sz w:val="24"/>
                <w:szCs w:val="24"/>
              </w:rPr>
            </w:pPr>
          </w:p>
          <w:p w14:paraId="0E4A381A" w14:textId="77777777" w:rsidR="009E7EA5" w:rsidRPr="00F16E31" w:rsidRDefault="009E7EA5" w:rsidP="00066C31">
            <w:pPr>
              <w:pStyle w:val="ListParagraph"/>
              <w:numPr>
                <w:ilvl w:val="0"/>
                <w:numId w:val="41"/>
              </w:numPr>
              <w:rPr>
                <w:rFonts w:asciiTheme="minorHAnsi" w:hAnsiTheme="minorHAnsi"/>
                <w:i/>
                <w:iCs/>
                <w:color w:val="243F60" w:themeColor="accent1" w:themeShade="7F"/>
                <w:sz w:val="24"/>
                <w:szCs w:val="24"/>
              </w:rPr>
            </w:pPr>
            <w:r w:rsidRPr="00F16E31">
              <w:rPr>
                <w:rFonts w:asciiTheme="minorHAnsi" w:hAnsiTheme="minorHAnsi"/>
                <w:sz w:val="24"/>
                <w:szCs w:val="24"/>
              </w:rPr>
              <w:t xml:space="preserve">Conventional immunosuppressive therapy is contraindicated and the reason is provided. </w:t>
            </w:r>
          </w:p>
          <w:p w14:paraId="50570513" w14:textId="77777777" w:rsidR="009E7EA5" w:rsidRPr="00507D71" w:rsidRDefault="009E7EA5" w:rsidP="00066C31">
            <w:pPr>
              <w:pStyle w:val="ListParagraph"/>
              <w:ind w:left="360"/>
              <w:rPr>
                <w:rFonts w:asciiTheme="minorHAnsi" w:hAnsiTheme="minorHAnsi"/>
                <w:sz w:val="24"/>
                <w:szCs w:val="24"/>
              </w:rPr>
            </w:pPr>
          </w:p>
        </w:tc>
        <w:tc>
          <w:tcPr>
            <w:tcW w:w="4110" w:type="dxa"/>
          </w:tcPr>
          <w:p w14:paraId="356A9C9E" w14:textId="77777777" w:rsidR="009E7EA5" w:rsidRDefault="009E7EA5" w:rsidP="00066C31">
            <w:pPr>
              <w:rPr>
                <w:rFonts w:asciiTheme="minorHAnsi" w:hAnsiTheme="minorHAnsi"/>
                <w:sz w:val="24"/>
                <w:szCs w:val="24"/>
              </w:rPr>
            </w:pPr>
          </w:p>
          <w:p w14:paraId="560736C2" w14:textId="77777777" w:rsidR="009E7EA5" w:rsidRPr="006C2C81" w:rsidRDefault="009E7EA5" w:rsidP="00066C31">
            <w:pPr>
              <w:tabs>
                <w:tab w:val="left" w:pos="283"/>
              </w:tabs>
              <w:ind w:left="-77"/>
              <w:rPr>
                <w:rFonts w:asciiTheme="minorHAnsi" w:hAnsiTheme="minorHAnsi"/>
                <w:sz w:val="24"/>
                <w:szCs w:val="24"/>
              </w:rPr>
            </w:pPr>
            <w:r w:rsidRPr="006C2C81">
              <w:rPr>
                <w:rFonts w:asciiTheme="minorHAnsi" w:hAnsiTheme="minorHAnsi"/>
                <w:sz w:val="24"/>
                <w:szCs w:val="24"/>
              </w:rPr>
              <w:t>Eligibility criteria are more clearly defined and will greatly improve availability of data for future analysis (A)</w:t>
            </w:r>
          </w:p>
          <w:p w14:paraId="6DCC96C0" w14:textId="77777777" w:rsidR="009E7EA5" w:rsidRDefault="009E7EA5" w:rsidP="00066C31">
            <w:pPr>
              <w:rPr>
                <w:rFonts w:asciiTheme="minorHAnsi" w:hAnsiTheme="minorHAnsi"/>
                <w:sz w:val="24"/>
                <w:szCs w:val="24"/>
              </w:rPr>
            </w:pPr>
          </w:p>
          <w:p w14:paraId="5CC041A1" w14:textId="77777777" w:rsidR="009E7EA5" w:rsidRDefault="009E7EA5" w:rsidP="00066C31">
            <w:pPr>
              <w:rPr>
                <w:rFonts w:asciiTheme="minorHAnsi" w:hAnsiTheme="minorHAnsi"/>
                <w:sz w:val="24"/>
                <w:szCs w:val="24"/>
              </w:rPr>
            </w:pPr>
          </w:p>
          <w:p w14:paraId="56A29D52" w14:textId="77777777" w:rsidR="009E7EA5" w:rsidRDefault="009E7EA5" w:rsidP="00066C31">
            <w:pPr>
              <w:rPr>
                <w:rFonts w:asciiTheme="minorHAnsi" w:hAnsiTheme="minorHAnsi"/>
                <w:sz w:val="24"/>
                <w:szCs w:val="24"/>
              </w:rPr>
            </w:pPr>
            <w:r>
              <w:rPr>
                <w:rFonts w:asciiTheme="minorHAnsi" w:hAnsiTheme="minorHAnsi"/>
                <w:sz w:val="24"/>
                <w:szCs w:val="24"/>
              </w:rPr>
              <w:t>The relevant strength of HLA donor specific antibody(ies) has been under significant discussion within the SWG. Given the lack of strong evidence to support a definitive level, the qualifying value has been set and will be reviewed after 6-12 months of data collection and analysis.</w:t>
            </w:r>
          </w:p>
          <w:p w14:paraId="377A38D8" w14:textId="2EF3CE57" w:rsidR="009E7EA5" w:rsidRDefault="00533723" w:rsidP="00066C31">
            <w:pPr>
              <w:rPr>
                <w:rFonts w:asciiTheme="minorHAnsi" w:hAnsiTheme="minorHAnsi"/>
                <w:sz w:val="24"/>
                <w:szCs w:val="24"/>
              </w:rPr>
            </w:pPr>
            <w:r>
              <w:rPr>
                <w:rFonts w:asciiTheme="minorHAnsi" w:hAnsiTheme="minorHAnsi"/>
                <w:sz w:val="24"/>
                <w:szCs w:val="24"/>
              </w:rPr>
              <w:t>(A)</w:t>
            </w:r>
          </w:p>
          <w:p w14:paraId="32ABA365" w14:textId="77777777" w:rsidR="009E7EA5" w:rsidRDefault="009E7EA5" w:rsidP="00066C31">
            <w:pPr>
              <w:rPr>
                <w:rFonts w:asciiTheme="minorHAnsi" w:hAnsiTheme="minorHAnsi"/>
                <w:sz w:val="24"/>
                <w:szCs w:val="24"/>
              </w:rPr>
            </w:pPr>
          </w:p>
          <w:p w14:paraId="7DA81EC6" w14:textId="77777777" w:rsidR="009E7EA5" w:rsidRDefault="009E7EA5" w:rsidP="00066C31">
            <w:pPr>
              <w:rPr>
                <w:rFonts w:asciiTheme="minorHAnsi" w:hAnsiTheme="minorHAnsi"/>
                <w:sz w:val="24"/>
                <w:szCs w:val="24"/>
              </w:rPr>
            </w:pPr>
          </w:p>
          <w:p w14:paraId="35B17DE7" w14:textId="77777777" w:rsidR="009E7EA5" w:rsidRDefault="009E7EA5" w:rsidP="00066C31">
            <w:pPr>
              <w:rPr>
                <w:rFonts w:asciiTheme="minorHAnsi" w:hAnsiTheme="minorHAnsi"/>
                <w:sz w:val="24"/>
                <w:szCs w:val="24"/>
              </w:rPr>
            </w:pPr>
          </w:p>
          <w:p w14:paraId="7537D703" w14:textId="77777777" w:rsidR="009E7EA5" w:rsidRPr="00D201D7" w:rsidRDefault="009E7EA5" w:rsidP="00066C31">
            <w:pPr>
              <w:tabs>
                <w:tab w:val="left" w:pos="283"/>
              </w:tabs>
              <w:ind w:left="-77"/>
              <w:rPr>
                <w:rFonts w:asciiTheme="minorHAnsi" w:hAnsiTheme="minorHAnsi"/>
                <w:sz w:val="24"/>
                <w:szCs w:val="24"/>
              </w:rPr>
            </w:pPr>
            <w:r w:rsidRPr="00D201D7">
              <w:rPr>
                <w:rFonts w:asciiTheme="minorHAnsi" w:hAnsiTheme="minorHAnsi"/>
                <w:sz w:val="24"/>
                <w:szCs w:val="24"/>
              </w:rPr>
              <w:t xml:space="preserve">Eligibility criteria have been revised to clearly differentiate between different </w:t>
            </w:r>
            <w:r w:rsidRPr="00D201D7">
              <w:rPr>
                <w:rFonts w:asciiTheme="minorHAnsi" w:hAnsiTheme="minorHAnsi"/>
                <w:sz w:val="24"/>
                <w:szCs w:val="24"/>
              </w:rPr>
              <w:lastRenderedPageBreak/>
              <w:t>patient groups that exist within indications (A)</w:t>
            </w:r>
          </w:p>
          <w:p w14:paraId="7A4094F5" w14:textId="77777777" w:rsidR="009E7EA5" w:rsidRDefault="009E7EA5" w:rsidP="00066C31">
            <w:pPr>
              <w:rPr>
                <w:rFonts w:asciiTheme="minorHAnsi" w:hAnsiTheme="minorHAnsi"/>
                <w:sz w:val="24"/>
                <w:szCs w:val="24"/>
              </w:rPr>
            </w:pPr>
          </w:p>
          <w:p w14:paraId="1A9F7969" w14:textId="77777777" w:rsidR="009E7EA5" w:rsidRDefault="009E7EA5" w:rsidP="00066C31">
            <w:pPr>
              <w:rPr>
                <w:rFonts w:asciiTheme="minorHAnsi" w:hAnsiTheme="minorHAnsi"/>
                <w:sz w:val="24"/>
                <w:szCs w:val="24"/>
              </w:rPr>
            </w:pPr>
            <w:r>
              <w:rPr>
                <w:rFonts w:asciiTheme="minorHAnsi" w:hAnsiTheme="minorHAnsi"/>
                <w:sz w:val="24"/>
                <w:szCs w:val="24"/>
              </w:rPr>
              <w:t xml:space="preserve">Donor specific antibodies may be known prior to transplant or may develop post transplant. Criteria must accommodate both physiological pathways for disease. </w:t>
            </w:r>
          </w:p>
          <w:p w14:paraId="7301751A" w14:textId="77777777" w:rsidR="009E7EA5" w:rsidRDefault="009E7EA5" w:rsidP="00066C31">
            <w:pPr>
              <w:rPr>
                <w:rFonts w:asciiTheme="minorHAnsi" w:hAnsiTheme="minorHAnsi"/>
                <w:sz w:val="24"/>
                <w:szCs w:val="24"/>
              </w:rPr>
            </w:pPr>
            <w:r>
              <w:rPr>
                <w:rFonts w:asciiTheme="minorHAnsi" w:hAnsiTheme="minorHAnsi"/>
                <w:sz w:val="24"/>
                <w:szCs w:val="24"/>
              </w:rPr>
              <w:t xml:space="preserve">Where a DSA is newly developing, HLA results may not be available immediately. In some instances, biopsy results may be unavailable or non-diagnostic in the early stages where treatment is required. </w:t>
            </w:r>
          </w:p>
          <w:p w14:paraId="19F65CFC" w14:textId="33F3E70E" w:rsidR="009E7EA5" w:rsidRDefault="00533723" w:rsidP="00066C31">
            <w:pPr>
              <w:rPr>
                <w:rFonts w:asciiTheme="minorHAnsi" w:hAnsiTheme="minorHAnsi"/>
                <w:sz w:val="24"/>
                <w:szCs w:val="24"/>
              </w:rPr>
            </w:pPr>
            <w:r>
              <w:rPr>
                <w:rFonts w:asciiTheme="minorHAnsi" w:hAnsiTheme="minorHAnsi"/>
                <w:sz w:val="24"/>
                <w:szCs w:val="24"/>
              </w:rPr>
              <w:t>(A)</w:t>
            </w:r>
          </w:p>
          <w:p w14:paraId="1B59F0D0" w14:textId="77777777" w:rsidR="009E7EA5" w:rsidRDefault="009E7EA5" w:rsidP="00066C31">
            <w:pPr>
              <w:rPr>
                <w:rFonts w:asciiTheme="minorHAnsi" w:hAnsiTheme="minorHAnsi"/>
                <w:sz w:val="24"/>
                <w:szCs w:val="24"/>
              </w:rPr>
            </w:pPr>
          </w:p>
          <w:p w14:paraId="786D60D0" w14:textId="77777777" w:rsidR="00F16E31" w:rsidRDefault="00F16E31" w:rsidP="00066C31">
            <w:pPr>
              <w:rPr>
                <w:rFonts w:asciiTheme="minorHAnsi" w:hAnsiTheme="minorHAnsi"/>
                <w:sz w:val="24"/>
                <w:szCs w:val="24"/>
              </w:rPr>
            </w:pPr>
          </w:p>
          <w:p w14:paraId="1727F584" w14:textId="77777777" w:rsidR="00F16E31" w:rsidRDefault="00F16E31" w:rsidP="00066C31">
            <w:pPr>
              <w:rPr>
                <w:rFonts w:asciiTheme="minorHAnsi" w:hAnsiTheme="minorHAnsi"/>
                <w:sz w:val="24"/>
                <w:szCs w:val="24"/>
              </w:rPr>
            </w:pPr>
          </w:p>
          <w:p w14:paraId="7302766F" w14:textId="77777777" w:rsidR="00F16E31" w:rsidRDefault="00F16E31" w:rsidP="00066C31">
            <w:pPr>
              <w:rPr>
                <w:rFonts w:asciiTheme="minorHAnsi" w:hAnsiTheme="minorHAnsi"/>
                <w:sz w:val="24"/>
                <w:szCs w:val="24"/>
              </w:rPr>
            </w:pPr>
          </w:p>
          <w:p w14:paraId="408663FB" w14:textId="77777777" w:rsidR="00F16E31" w:rsidRDefault="00F16E31" w:rsidP="00066C31">
            <w:pPr>
              <w:rPr>
                <w:rFonts w:asciiTheme="minorHAnsi" w:hAnsiTheme="minorHAnsi"/>
                <w:sz w:val="24"/>
                <w:szCs w:val="24"/>
              </w:rPr>
            </w:pPr>
          </w:p>
          <w:p w14:paraId="6478170E" w14:textId="77777777" w:rsidR="009E7EA5" w:rsidRDefault="009E7EA5" w:rsidP="00066C31">
            <w:pPr>
              <w:rPr>
                <w:rFonts w:asciiTheme="minorHAnsi" w:hAnsiTheme="minorHAnsi"/>
                <w:sz w:val="24"/>
                <w:szCs w:val="24"/>
              </w:rPr>
            </w:pPr>
          </w:p>
          <w:p w14:paraId="5D170006" w14:textId="720B9944" w:rsidR="009E7EA5" w:rsidRDefault="00533723" w:rsidP="00066C31">
            <w:pPr>
              <w:rPr>
                <w:rFonts w:asciiTheme="minorHAnsi" w:hAnsiTheme="minorHAnsi"/>
                <w:sz w:val="24"/>
                <w:szCs w:val="24"/>
              </w:rPr>
            </w:pPr>
            <w:r>
              <w:rPr>
                <w:rFonts w:asciiTheme="minorHAnsi" w:hAnsiTheme="minorHAnsi"/>
                <w:sz w:val="24"/>
                <w:szCs w:val="24"/>
              </w:rPr>
              <w:t xml:space="preserve">Detail of the reason is to be provided. </w:t>
            </w:r>
            <w:r w:rsidR="009E7EA5">
              <w:rPr>
                <w:rFonts w:asciiTheme="minorHAnsi" w:hAnsiTheme="minorHAnsi"/>
                <w:sz w:val="24"/>
                <w:szCs w:val="24"/>
              </w:rPr>
              <w:t xml:space="preserve">Acceptable contra-indication reasons include: </w:t>
            </w:r>
          </w:p>
          <w:p w14:paraId="5668DC7E" w14:textId="77777777" w:rsidR="009E7EA5" w:rsidRPr="009C4E37" w:rsidRDefault="009E7EA5" w:rsidP="00066C31">
            <w:pPr>
              <w:pStyle w:val="ListParagraph"/>
              <w:numPr>
                <w:ilvl w:val="0"/>
                <w:numId w:val="27"/>
              </w:numPr>
              <w:spacing w:after="120" w:line="276" w:lineRule="auto"/>
              <w:ind w:left="720"/>
            </w:pPr>
            <w:r w:rsidRPr="009C4E37">
              <w:t>Significant infection or sepsis</w:t>
            </w:r>
          </w:p>
          <w:p w14:paraId="0FDFA059" w14:textId="77777777" w:rsidR="009E7EA5" w:rsidRPr="009C4E37" w:rsidRDefault="009E7EA5" w:rsidP="00066C31">
            <w:pPr>
              <w:pStyle w:val="ListParagraph"/>
              <w:numPr>
                <w:ilvl w:val="0"/>
                <w:numId w:val="27"/>
              </w:numPr>
              <w:spacing w:after="120" w:line="276" w:lineRule="auto"/>
              <w:ind w:left="720"/>
            </w:pPr>
            <w:r w:rsidRPr="009C4E37">
              <w:t>Potential for life threatening infection</w:t>
            </w:r>
          </w:p>
          <w:p w14:paraId="11173041" w14:textId="77777777" w:rsidR="009E7EA5" w:rsidRPr="009C4E37" w:rsidRDefault="009E7EA5" w:rsidP="00066C31">
            <w:pPr>
              <w:pStyle w:val="ListParagraph"/>
              <w:numPr>
                <w:ilvl w:val="0"/>
                <w:numId w:val="27"/>
              </w:numPr>
              <w:spacing w:after="120" w:line="276" w:lineRule="auto"/>
              <w:ind w:left="720"/>
            </w:pPr>
            <w:r w:rsidRPr="009C4E37">
              <w:t>Life threatening condition</w:t>
            </w:r>
          </w:p>
          <w:p w14:paraId="41A2F0C0" w14:textId="77777777" w:rsidR="009E7EA5" w:rsidRPr="009C4E37" w:rsidRDefault="009E7EA5" w:rsidP="00066C31">
            <w:pPr>
              <w:pStyle w:val="ListParagraph"/>
              <w:numPr>
                <w:ilvl w:val="0"/>
                <w:numId w:val="27"/>
              </w:numPr>
              <w:spacing w:after="120" w:line="276" w:lineRule="auto"/>
              <w:ind w:left="720"/>
            </w:pPr>
            <w:r w:rsidRPr="009C4E37">
              <w:t>Malignancy</w:t>
            </w:r>
          </w:p>
          <w:p w14:paraId="22FAC600" w14:textId="77777777" w:rsidR="009E7EA5" w:rsidRPr="009C4E37" w:rsidRDefault="009E7EA5" w:rsidP="00066C31">
            <w:pPr>
              <w:pStyle w:val="ListParagraph"/>
              <w:numPr>
                <w:ilvl w:val="0"/>
                <w:numId w:val="27"/>
              </w:numPr>
              <w:spacing w:after="120" w:line="276" w:lineRule="auto"/>
              <w:ind w:left="720"/>
            </w:pPr>
            <w:r w:rsidRPr="009C4E37">
              <w:t>Marrow suppression and cytopenia</w:t>
            </w:r>
          </w:p>
          <w:p w14:paraId="098AB616" w14:textId="24A6F439" w:rsidR="009E7EA5" w:rsidRDefault="00533723" w:rsidP="00066C31">
            <w:pPr>
              <w:rPr>
                <w:rFonts w:asciiTheme="minorHAnsi" w:hAnsiTheme="minorHAnsi"/>
                <w:sz w:val="24"/>
                <w:szCs w:val="24"/>
              </w:rPr>
            </w:pPr>
            <w:r>
              <w:rPr>
                <w:rFonts w:asciiTheme="minorHAnsi" w:hAnsiTheme="minorHAnsi"/>
                <w:sz w:val="24"/>
                <w:szCs w:val="24"/>
              </w:rPr>
              <w:t>(A)</w:t>
            </w:r>
          </w:p>
          <w:p w14:paraId="2978136E" w14:textId="77777777" w:rsidR="009E7EA5" w:rsidRDefault="009E7EA5" w:rsidP="00066C31">
            <w:pPr>
              <w:rPr>
                <w:rFonts w:asciiTheme="minorHAnsi" w:hAnsiTheme="minorHAnsi"/>
                <w:sz w:val="24"/>
                <w:szCs w:val="24"/>
              </w:rPr>
            </w:pPr>
          </w:p>
          <w:p w14:paraId="7E8E2797" w14:textId="77777777" w:rsidR="009E7EA5" w:rsidRPr="00507D71" w:rsidRDefault="009E7EA5" w:rsidP="00066C31">
            <w:pPr>
              <w:rPr>
                <w:rFonts w:asciiTheme="minorHAnsi" w:hAnsiTheme="minorHAnsi"/>
                <w:sz w:val="24"/>
                <w:szCs w:val="24"/>
              </w:rPr>
            </w:pPr>
          </w:p>
        </w:tc>
      </w:tr>
      <w:tr w:rsidR="009E7EA5" w:rsidRPr="00507D71" w14:paraId="66B79EE9" w14:textId="77777777" w:rsidTr="00784EBB">
        <w:tc>
          <w:tcPr>
            <w:tcW w:w="1242" w:type="dxa"/>
            <w:shd w:val="clear" w:color="auto" w:fill="D9D9D9" w:themeFill="background1" w:themeFillShade="D9"/>
          </w:tcPr>
          <w:p w14:paraId="56472479" w14:textId="0A1E333C" w:rsidR="009E7EA5" w:rsidRPr="00507D71" w:rsidRDefault="009E7EA5" w:rsidP="00066C31">
            <w:pPr>
              <w:rPr>
                <w:rFonts w:asciiTheme="minorHAnsi" w:hAnsiTheme="minorHAnsi"/>
                <w:sz w:val="24"/>
                <w:szCs w:val="24"/>
              </w:rPr>
            </w:pPr>
            <w:r w:rsidRPr="00507D71">
              <w:rPr>
                <w:rFonts w:asciiTheme="minorHAnsi" w:hAnsiTheme="minorHAnsi"/>
                <w:sz w:val="24"/>
                <w:szCs w:val="24"/>
              </w:rPr>
              <w:lastRenderedPageBreak/>
              <w:t>Review Criteria</w:t>
            </w:r>
          </w:p>
        </w:tc>
        <w:tc>
          <w:tcPr>
            <w:tcW w:w="4253" w:type="dxa"/>
          </w:tcPr>
          <w:p w14:paraId="024F0B01" w14:textId="77777777" w:rsidR="009E7EA5" w:rsidRPr="00507D71" w:rsidRDefault="009E7EA5" w:rsidP="00066C31">
            <w:pPr>
              <w:rPr>
                <w:rFonts w:asciiTheme="minorHAnsi" w:hAnsiTheme="minorHAnsi"/>
                <w:sz w:val="24"/>
                <w:szCs w:val="24"/>
              </w:rPr>
            </w:pPr>
          </w:p>
        </w:tc>
        <w:tc>
          <w:tcPr>
            <w:tcW w:w="4678" w:type="dxa"/>
            <w:gridSpan w:val="3"/>
          </w:tcPr>
          <w:p w14:paraId="0A780A10" w14:textId="7D9249C3" w:rsidR="009E7EA5" w:rsidRPr="00F16E31" w:rsidRDefault="00F16E31" w:rsidP="00066C31">
            <w:pPr>
              <w:rPr>
                <w:rFonts w:asciiTheme="minorHAnsi" w:hAnsiTheme="minorHAnsi"/>
                <w:sz w:val="24"/>
                <w:szCs w:val="24"/>
              </w:rPr>
            </w:pPr>
            <w:r w:rsidRPr="00F16E31">
              <w:rPr>
                <w:rFonts w:asciiTheme="minorHAnsi" w:hAnsiTheme="minorHAnsi"/>
                <w:sz w:val="24"/>
                <w:szCs w:val="24"/>
              </w:rPr>
              <w:t xml:space="preserve">Review is not mandated for this condition. </w:t>
            </w:r>
            <w:r w:rsidR="009E7EA5" w:rsidRPr="00F16E31">
              <w:rPr>
                <w:rFonts w:asciiTheme="minorHAnsi" w:hAnsiTheme="minorHAnsi"/>
                <w:sz w:val="24"/>
                <w:szCs w:val="24"/>
              </w:rPr>
              <w:t xml:space="preserve"> </w:t>
            </w:r>
          </w:p>
        </w:tc>
        <w:tc>
          <w:tcPr>
            <w:tcW w:w="4110" w:type="dxa"/>
          </w:tcPr>
          <w:p w14:paraId="3A26B90B" w14:textId="77777777" w:rsidR="009E7EA5" w:rsidRPr="00507D71" w:rsidRDefault="009E7EA5" w:rsidP="00066C31">
            <w:pPr>
              <w:rPr>
                <w:rFonts w:asciiTheme="minorHAnsi" w:hAnsiTheme="minorHAnsi"/>
                <w:sz w:val="24"/>
                <w:szCs w:val="24"/>
              </w:rPr>
            </w:pPr>
            <w:r w:rsidRPr="00CE379E">
              <w:rPr>
                <w:rFonts w:asciiTheme="minorHAnsi" w:hAnsiTheme="minorHAnsi"/>
                <w:sz w:val="24"/>
                <w:szCs w:val="24"/>
              </w:rPr>
              <w:t>Given that treatment is mostly by multiple single doses, very limited outcome data is likely be collected within the system</w:t>
            </w:r>
            <w:r>
              <w:rPr>
                <w:rFonts w:asciiTheme="minorHAnsi" w:hAnsiTheme="minorHAnsi"/>
                <w:sz w:val="24"/>
                <w:szCs w:val="24"/>
              </w:rPr>
              <w:t>. Significant data is already available on transplant outcomes in other national systems - the potential to interface the Ig System such databases will be considered in future.</w:t>
            </w:r>
          </w:p>
        </w:tc>
      </w:tr>
      <w:tr w:rsidR="009E7EA5" w:rsidRPr="00507D71" w14:paraId="4A3924BA" w14:textId="77777777" w:rsidTr="00784EBB">
        <w:tc>
          <w:tcPr>
            <w:tcW w:w="1242" w:type="dxa"/>
            <w:shd w:val="clear" w:color="auto" w:fill="D9D9D9" w:themeFill="background1" w:themeFillShade="D9"/>
          </w:tcPr>
          <w:p w14:paraId="2D584336" w14:textId="77777777" w:rsidR="009E7EA5" w:rsidRPr="00507D71" w:rsidRDefault="009E7EA5" w:rsidP="00066C31">
            <w:pPr>
              <w:rPr>
                <w:rFonts w:asciiTheme="minorHAnsi" w:hAnsiTheme="minorHAnsi"/>
                <w:sz w:val="24"/>
                <w:szCs w:val="24"/>
              </w:rPr>
            </w:pPr>
            <w:r w:rsidRPr="00507D71">
              <w:rPr>
                <w:rFonts w:asciiTheme="minorHAnsi" w:hAnsiTheme="minorHAnsi"/>
                <w:sz w:val="24"/>
                <w:szCs w:val="24"/>
              </w:rPr>
              <w:t>Dose</w:t>
            </w:r>
          </w:p>
        </w:tc>
        <w:tc>
          <w:tcPr>
            <w:tcW w:w="4253" w:type="dxa"/>
          </w:tcPr>
          <w:p w14:paraId="2E173E0B" w14:textId="77777777" w:rsidR="009E7EA5" w:rsidRPr="00507D71" w:rsidRDefault="009E7EA5" w:rsidP="00066C31">
            <w:pPr>
              <w:rPr>
                <w:rFonts w:asciiTheme="minorHAnsi" w:hAnsiTheme="minorHAnsi"/>
                <w:sz w:val="24"/>
                <w:szCs w:val="24"/>
              </w:rPr>
            </w:pPr>
          </w:p>
        </w:tc>
        <w:tc>
          <w:tcPr>
            <w:tcW w:w="4678" w:type="dxa"/>
            <w:gridSpan w:val="3"/>
          </w:tcPr>
          <w:p w14:paraId="1BC2396B" w14:textId="130A20B2" w:rsidR="009E7EA5" w:rsidRPr="00507D71" w:rsidRDefault="009E7EA5" w:rsidP="00066C31">
            <w:pPr>
              <w:rPr>
                <w:rFonts w:asciiTheme="minorHAnsi" w:hAnsiTheme="minorHAnsi"/>
                <w:b/>
                <w:i/>
                <w:iCs/>
                <w:color w:val="243F60" w:themeColor="accent1" w:themeShade="7F"/>
                <w:sz w:val="24"/>
                <w:szCs w:val="24"/>
              </w:rPr>
            </w:pPr>
            <w:r w:rsidRPr="00507D71">
              <w:rPr>
                <w:rFonts w:asciiTheme="minorHAnsi" w:hAnsiTheme="minorHAnsi"/>
                <w:b/>
                <w:sz w:val="24"/>
                <w:szCs w:val="24"/>
              </w:rPr>
              <w:t xml:space="preserve">IVIg with plasma </w:t>
            </w:r>
            <w:r w:rsidR="00CA09DA" w:rsidRPr="00507D71">
              <w:rPr>
                <w:rFonts w:asciiTheme="minorHAnsi" w:hAnsiTheme="minorHAnsi"/>
                <w:b/>
                <w:sz w:val="24"/>
                <w:szCs w:val="24"/>
              </w:rPr>
              <w:t xml:space="preserve">exchange </w:t>
            </w:r>
            <w:r w:rsidR="00CA09DA" w:rsidRPr="00507D71">
              <w:rPr>
                <w:rFonts w:asciiTheme="minorHAnsi" w:hAnsiTheme="minorHAnsi"/>
                <w:sz w:val="24"/>
                <w:szCs w:val="24"/>
              </w:rPr>
              <w:t>0.1</w:t>
            </w:r>
            <w:r w:rsidRPr="00507D71">
              <w:rPr>
                <w:rFonts w:asciiTheme="minorHAnsi" w:hAnsiTheme="minorHAnsi"/>
                <w:sz w:val="24"/>
                <w:szCs w:val="24"/>
              </w:rPr>
              <w:t xml:space="preserve"> to 0.5 g/kg after each exchange (Total maximum dose of 2.5g/Kg divided over 5 doses).</w:t>
            </w:r>
          </w:p>
          <w:p w14:paraId="6CD7E581" w14:textId="77777777" w:rsidR="009E7EA5" w:rsidRPr="00507D71" w:rsidRDefault="009E7EA5" w:rsidP="00066C31">
            <w:pPr>
              <w:rPr>
                <w:rFonts w:asciiTheme="minorHAnsi" w:hAnsiTheme="minorHAnsi"/>
                <w:b/>
                <w:sz w:val="24"/>
                <w:szCs w:val="24"/>
              </w:rPr>
            </w:pPr>
          </w:p>
          <w:p w14:paraId="318C6C97" w14:textId="77777777" w:rsidR="009E7EA5" w:rsidRPr="00507D71" w:rsidRDefault="009E7EA5" w:rsidP="00066C31">
            <w:pPr>
              <w:rPr>
                <w:rFonts w:asciiTheme="minorHAnsi" w:hAnsiTheme="minorHAnsi"/>
                <w:b/>
                <w:sz w:val="24"/>
                <w:szCs w:val="24"/>
              </w:rPr>
            </w:pPr>
            <w:r w:rsidRPr="00507D71">
              <w:rPr>
                <w:rFonts w:asciiTheme="minorHAnsi" w:hAnsiTheme="minorHAnsi"/>
                <w:b/>
                <w:sz w:val="24"/>
                <w:szCs w:val="24"/>
              </w:rPr>
              <w:t xml:space="preserve">IVIg without plasma exchange (single dose) Up to </w:t>
            </w:r>
            <w:r w:rsidRPr="00507D71">
              <w:rPr>
                <w:rFonts w:asciiTheme="minorHAnsi" w:hAnsiTheme="minorHAnsi"/>
                <w:sz w:val="24"/>
                <w:szCs w:val="24"/>
              </w:rPr>
              <w:t>2 g/kg to a maximum of 140 g as a single dose</w:t>
            </w:r>
            <w:r w:rsidRPr="00507D71">
              <w:rPr>
                <w:rFonts w:asciiTheme="minorHAnsi" w:hAnsiTheme="minorHAnsi"/>
                <w:sz w:val="24"/>
                <w:szCs w:val="24"/>
              </w:rPr>
              <w:tab/>
            </w:r>
            <w:r w:rsidRPr="00507D71">
              <w:rPr>
                <w:rFonts w:asciiTheme="minorHAnsi" w:hAnsiTheme="minorHAnsi"/>
                <w:sz w:val="24"/>
                <w:szCs w:val="24"/>
              </w:rPr>
              <w:tab/>
            </w:r>
            <w:r w:rsidRPr="00507D71">
              <w:rPr>
                <w:rFonts w:asciiTheme="minorHAnsi" w:hAnsiTheme="minorHAnsi"/>
                <w:sz w:val="24"/>
                <w:szCs w:val="24"/>
              </w:rPr>
              <w:tab/>
            </w:r>
            <w:r w:rsidRPr="00507D71">
              <w:rPr>
                <w:rFonts w:asciiTheme="minorHAnsi" w:hAnsiTheme="minorHAnsi"/>
                <w:sz w:val="24"/>
                <w:szCs w:val="24"/>
              </w:rPr>
              <w:tab/>
            </w:r>
          </w:p>
          <w:p w14:paraId="2B1A19B5" w14:textId="3B87BC86" w:rsidR="009E7EA5" w:rsidRPr="00507D71" w:rsidRDefault="009E7EA5" w:rsidP="00066C31">
            <w:pPr>
              <w:rPr>
                <w:rFonts w:asciiTheme="minorHAnsi" w:hAnsiTheme="minorHAnsi"/>
                <w:b/>
                <w:i/>
                <w:iCs/>
                <w:color w:val="243F60" w:themeColor="accent1" w:themeShade="7F"/>
                <w:sz w:val="24"/>
                <w:szCs w:val="24"/>
              </w:rPr>
            </w:pPr>
            <w:r w:rsidRPr="00507D71">
              <w:rPr>
                <w:rFonts w:asciiTheme="minorHAnsi" w:hAnsiTheme="minorHAnsi"/>
                <w:b/>
                <w:sz w:val="24"/>
                <w:szCs w:val="24"/>
              </w:rPr>
              <w:t xml:space="preserve">IVIg without plasma exchange (divided dose) </w:t>
            </w:r>
            <w:r w:rsidRPr="00507D71">
              <w:rPr>
                <w:rFonts w:asciiTheme="minorHAnsi" w:hAnsiTheme="minorHAnsi"/>
                <w:sz w:val="24"/>
                <w:szCs w:val="24"/>
              </w:rPr>
              <w:t xml:space="preserve">2 to 3.5g/kg in a divided dose </w:t>
            </w:r>
            <w:r w:rsidRPr="00507D71">
              <w:rPr>
                <w:rFonts w:asciiTheme="minorHAnsi" w:hAnsiTheme="minorHAnsi"/>
                <w:sz w:val="24"/>
                <w:szCs w:val="24"/>
              </w:rPr>
              <w:tab/>
            </w:r>
            <w:r w:rsidRPr="00507D71">
              <w:rPr>
                <w:rFonts w:asciiTheme="minorHAnsi" w:hAnsiTheme="minorHAnsi"/>
                <w:sz w:val="24"/>
                <w:szCs w:val="24"/>
              </w:rPr>
              <w:tab/>
            </w:r>
          </w:p>
          <w:p w14:paraId="49074F4B" w14:textId="77777777" w:rsidR="00F16E31" w:rsidRPr="00F16E31" w:rsidRDefault="00F16E31" w:rsidP="00066C31">
            <w:pPr>
              <w:rPr>
                <w:rFonts w:asciiTheme="minorHAnsi" w:eastAsia="Times New Roman" w:hAnsiTheme="minorHAnsi" w:cstheme="minorHAnsi"/>
                <w:i/>
                <w:iCs/>
                <w:color w:val="000000"/>
                <w:sz w:val="24"/>
                <w:szCs w:val="24"/>
              </w:rPr>
            </w:pPr>
            <w:r w:rsidRPr="00F16E31">
              <w:rPr>
                <w:rFonts w:asciiTheme="minorHAnsi" w:eastAsia="Times New Roman" w:hAnsiTheme="minorHAnsi" w:cstheme="minorHAnsi"/>
                <w:color w:val="000000"/>
                <w:sz w:val="24"/>
                <w:szCs w:val="24"/>
              </w:rPr>
              <w:t>The aim should be to use the lowest dose possible that achieves the appropriate clinical outcome for each patient.</w:t>
            </w:r>
          </w:p>
          <w:p w14:paraId="2358EED3" w14:textId="77777777" w:rsidR="009E7EA5" w:rsidRPr="00F16E31" w:rsidRDefault="009E7EA5" w:rsidP="00066C31">
            <w:pPr>
              <w:rPr>
                <w:rFonts w:asciiTheme="minorHAnsi" w:hAnsiTheme="minorHAnsi"/>
                <w:sz w:val="24"/>
                <w:szCs w:val="24"/>
              </w:rPr>
            </w:pPr>
          </w:p>
          <w:p w14:paraId="0D4FD894" w14:textId="77777777" w:rsidR="009E7EA5" w:rsidRPr="00F16E31" w:rsidRDefault="009E7EA5" w:rsidP="00066C31">
            <w:pPr>
              <w:spacing w:after="225" w:line="276" w:lineRule="auto"/>
              <w:rPr>
                <w:rFonts w:asciiTheme="minorHAnsi" w:eastAsia="Times New Roman" w:hAnsiTheme="minorHAnsi" w:cstheme="minorHAnsi"/>
                <w:color w:val="000000"/>
                <w:sz w:val="24"/>
                <w:szCs w:val="24"/>
              </w:rPr>
            </w:pPr>
            <w:r w:rsidRPr="00F16E31">
              <w:rPr>
                <w:rFonts w:asciiTheme="minorHAnsi" w:eastAsia="Times New Roman" w:hAnsiTheme="minorHAnsi" w:cstheme="minorHAnsi"/>
                <w:color w:val="000000"/>
                <w:sz w:val="24"/>
                <w:szCs w:val="24"/>
              </w:rPr>
              <w:t>Dosing above 1 g/kg per day is contraindicated for some IVIg products.</w:t>
            </w:r>
          </w:p>
          <w:p w14:paraId="4B346E98" w14:textId="77777777" w:rsidR="009E7EA5" w:rsidRPr="00507D71" w:rsidRDefault="009E7EA5" w:rsidP="00066C31">
            <w:pPr>
              <w:spacing w:after="225" w:line="276" w:lineRule="auto"/>
              <w:rPr>
                <w:rFonts w:asciiTheme="minorHAnsi" w:eastAsia="Times New Roman" w:hAnsiTheme="minorHAnsi" w:cstheme="minorHAnsi"/>
                <w:b/>
                <w:color w:val="000000"/>
                <w:sz w:val="24"/>
                <w:szCs w:val="24"/>
              </w:rPr>
            </w:pPr>
            <w:r w:rsidRPr="00507D71">
              <w:rPr>
                <w:rFonts w:asciiTheme="minorHAnsi" w:eastAsia="Times New Roman" w:hAnsiTheme="minorHAnsi" w:cstheme="minorHAnsi"/>
                <w:b/>
                <w:color w:val="000000"/>
                <w:sz w:val="24"/>
                <w:szCs w:val="24"/>
              </w:rPr>
              <w:t>Refer to the current product information sheet for further information.</w:t>
            </w:r>
          </w:p>
          <w:p w14:paraId="17774765" w14:textId="77777777" w:rsidR="009E7EA5" w:rsidRPr="00507D71" w:rsidRDefault="009E7EA5" w:rsidP="00066C31">
            <w:pPr>
              <w:rPr>
                <w:rFonts w:asciiTheme="minorHAnsi" w:hAnsiTheme="minorHAnsi"/>
                <w:sz w:val="24"/>
                <w:szCs w:val="24"/>
              </w:rPr>
            </w:pPr>
          </w:p>
        </w:tc>
        <w:tc>
          <w:tcPr>
            <w:tcW w:w="4110" w:type="dxa"/>
          </w:tcPr>
          <w:p w14:paraId="55FAB399" w14:textId="77777777" w:rsidR="009E7EA5" w:rsidRPr="00507D71" w:rsidRDefault="009E7EA5" w:rsidP="00066C31">
            <w:pPr>
              <w:rPr>
                <w:rFonts w:asciiTheme="minorHAnsi" w:hAnsiTheme="minorHAnsi"/>
                <w:sz w:val="24"/>
                <w:szCs w:val="24"/>
              </w:rPr>
            </w:pPr>
            <w:r w:rsidRPr="00CE379E">
              <w:rPr>
                <w:rFonts w:asciiTheme="minorHAnsi" w:hAnsiTheme="minorHAnsi"/>
                <w:sz w:val="24"/>
                <w:szCs w:val="24"/>
              </w:rPr>
              <w:lastRenderedPageBreak/>
              <w:t>Dosing specifications have been more explicitly defined (within current policy allowances) to support current clinical practices and accommodate the variable approaches to treatment protocols in use nationally</w:t>
            </w:r>
            <w:r>
              <w:rPr>
                <w:rFonts w:asciiTheme="minorHAnsi" w:hAnsiTheme="minorHAnsi"/>
                <w:sz w:val="24"/>
                <w:szCs w:val="24"/>
              </w:rPr>
              <w:t xml:space="preserve">. </w:t>
            </w:r>
            <w:r w:rsidRPr="00CE379E">
              <w:rPr>
                <w:rFonts w:asciiTheme="minorHAnsi" w:hAnsiTheme="minorHAnsi"/>
                <w:sz w:val="24"/>
                <w:szCs w:val="24"/>
              </w:rPr>
              <w:t>(</w:t>
            </w:r>
            <w:r>
              <w:rPr>
                <w:rFonts w:asciiTheme="minorHAnsi" w:hAnsiTheme="minorHAnsi"/>
                <w:sz w:val="24"/>
                <w:szCs w:val="24"/>
              </w:rPr>
              <w:t>A</w:t>
            </w:r>
            <w:r w:rsidRPr="00CE379E">
              <w:rPr>
                <w:rFonts w:asciiTheme="minorHAnsi" w:hAnsiTheme="minorHAnsi"/>
                <w:sz w:val="24"/>
                <w:szCs w:val="24"/>
              </w:rPr>
              <w:t>)</w:t>
            </w:r>
            <w:r>
              <w:rPr>
                <w:rFonts w:asciiTheme="minorHAnsi" w:hAnsiTheme="minorHAnsi"/>
                <w:sz w:val="24"/>
                <w:szCs w:val="24"/>
              </w:rPr>
              <w:t xml:space="preserve"> Data will be available for analysis in future that will support the identification of better practice. </w:t>
            </w:r>
            <w:r w:rsidRPr="00CE379E">
              <w:rPr>
                <w:rFonts w:asciiTheme="minorHAnsi" w:hAnsiTheme="minorHAnsi"/>
                <w:sz w:val="24"/>
                <w:szCs w:val="24"/>
              </w:rPr>
              <w:t xml:space="preserve"> </w:t>
            </w:r>
          </w:p>
        </w:tc>
      </w:tr>
      <w:tr w:rsidR="00F16E31" w:rsidRPr="00BF6734" w14:paraId="18373009" w14:textId="77777777" w:rsidTr="00784EBB">
        <w:tblPrEx>
          <w:tblLook w:val="04A0" w:firstRow="1" w:lastRow="0" w:firstColumn="1" w:lastColumn="0" w:noHBand="0" w:noVBand="1"/>
        </w:tblPrEx>
        <w:tc>
          <w:tcPr>
            <w:tcW w:w="14283" w:type="dxa"/>
            <w:gridSpan w:val="6"/>
            <w:shd w:val="clear" w:color="auto" w:fill="DBE5F1" w:themeFill="accent1" w:themeFillTint="33"/>
          </w:tcPr>
          <w:p w14:paraId="7F3B123A" w14:textId="534E2449" w:rsidR="00533723" w:rsidRPr="00BF6734" w:rsidRDefault="00ED79DF" w:rsidP="00533723">
            <w:pPr>
              <w:spacing w:before="120" w:after="120"/>
              <w:jc w:val="center"/>
              <w:rPr>
                <w:rFonts w:asciiTheme="minorHAnsi" w:hAnsiTheme="minorHAnsi"/>
                <w:b/>
              </w:rPr>
            </w:pPr>
            <w:r>
              <w:lastRenderedPageBreak/>
              <w:br w:type="textWrapping" w:clear="all"/>
            </w:r>
            <w:r w:rsidR="00533723" w:rsidRPr="00BF6734">
              <w:rPr>
                <w:rFonts w:asciiTheme="minorHAnsi" w:hAnsiTheme="minorHAnsi"/>
                <w:b/>
              </w:rPr>
              <w:t>END OF DOCUMENT</w:t>
            </w:r>
          </w:p>
        </w:tc>
      </w:tr>
    </w:tbl>
    <w:p w14:paraId="183A9194" w14:textId="77777777" w:rsidR="00533723" w:rsidRDefault="00533723">
      <w:pPr>
        <w:rPr>
          <w:rFonts w:asciiTheme="minorHAnsi" w:eastAsiaTheme="minorHAnsi" w:hAnsiTheme="minorHAnsi" w:cstheme="minorBidi"/>
        </w:rPr>
      </w:pPr>
    </w:p>
    <w:sectPr w:rsidR="00533723" w:rsidSect="009E7EA5">
      <w:footerReference w:type="default" r:id="rId8"/>
      <w:pgSz w:w="16838" w:h="11906" w:orient="landscape" w:code="8"/>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69D75" w14:textId="77777777" w:rsidR="00066C31" w:rsidRDefault="00066C31" w:rsidP="00856708">
      <w:pPr>
        <w:spacing w:after="0"/>
      </w:pPr>
      <w:r>
        <w:separator/>
      </w:r>
    </w:p>
  </w:endnote>
  <w:endnote w:type="continuationSeparator" w:id="0">
    <w:p w14:paraId="1349329B" w14:textId="77777777" w:rsidR="00066C31" w:rsidRDefault="00066C3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9C81" w14:textId="77777777" w:rsidR="00066C31" w:rsidRPr="00856708" w:rsidRDefault="00066C31"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DA1AB9">
      <w:rPr>
        <w:noProof/>
        <w:sz w:val="20"/>
        <w:szCs w:val="20"/>
      </w:rPr>
      <w:t>8</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4766C" w14:textId="77777777" w:rsidR="00066C31" w:rsidRDefault="00066C31" w:rsidP="00856708">
      <w:pPr>
        <w:spacing w:after="0"/>
      </w:pPr>
      <w:r>
        <w:separator/>
      </w:r>
    </w:p>
  </w:footnote>
  <w:footnote w:type="continuationSeparator" w:id="0">
    <w:p w14:paraId="5F4C916F" w14:textId="77777777" w:rsidR="00066C31" w:rsidRDefault="00066C31"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A62D83"/>
    <w:multiLevelType w:val="hybridMultilevel"/>
    <w:tmpl w:val="AABC5B9E"/>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6B0046"/>
    <w:multiLevelType w:val="hybridMultilevel"/>
    <w:tmpl w:val="66E4B3F0"/>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882520"/>
    <w:multiLevelType w:val="hybridMultilevel"/>
    <w:tmpl w:val="E570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75DFF"/>
    <w:multiLevelType w:val="hybridMultilevel"/>
    <w:tmpl w:val="B1E89A04"/>
    <w:lvl w:ilvl="0" w:tplc="4A0C3AF0">
      <w:start w:val="1"/>
      <w:numFmt w:val="bullet"/>
      <w:lvlText w:val=""/>
      <w:lvlJc w:val="left"/>
      <w:pPr>
        <w:ind w:left="1080" w:hanging="360"/>
      </w:pPr>
      <w:rPr>
        <w:rFonts w:ascii="Symbol" w:hAnsi="Symbol" w:hint="default"/>
        <w:color w:val="auto"/>
      </w:rPr>
    </w:lvl>
    <w:lvl w:ilvl="1" w:tplc="0409001B">
      <w:start w:val="1"/>
      <w:numFmt w:val="lowerRoman"/>
      <w:lvlText w:val="%2."/>
      <w:lvlJc w:val="right"/>
      <w:pPr>
        <w:ind w:left="36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F14E78"/>
    <w:multiLevelType w:val="hybridMultilevel"/>
    <w:tmpl w:val="5E9E4C58"/>
    <w:lvl w:ilvl="0" w:tplc="4A0C3AF0">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0D6DFA"/>
    <w:multiLevelType w:val="hybridMultilevel"/>
    <w:tmpl w:val="CE8A3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63238D"/>
    <w:multiLevelType w:val="hybridMultilevel"/>
    <w:tmpl w:val="093ED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A486B"/>
    <w:multiLevelType w:val="hybridMultilevel"/>
    <w:tmpl w:val="5B06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762D59"/>
    <w:multiLevelType w:val="multilevel"/>
    <w:tmpl w:val="CE0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3AE5825"/>
    <w:multiLevelType w:val="hybridMultilevel"/>
    <w:tmpl w:val="839E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55946"/>
    <w:multiLevelType w:val="hybridMultilevel"/>
    <w:tmpl w:val="EB46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A1281A"/>
    <w:multiLevelType w:val="hybridMultilevel"/>
    <w:tmpl w:val="43BC0B3C"/>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2201414"/>
    <w:multiLevelType w:val="hybridMultilevel"/>
    <w:tmpl w:val="DA6AC316"/>
    <w:lvl w:ilvl="0" w:tplc="4A0C3A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B4BEE"/>
    <w:multiLevelType w:val="hybridMultilevel"/>
    <w:tmpl w:val="82AC8E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75A1411"/>
    <w:multiLevelType w:val="multilevel"/>
    <w:tmpl w:val="09A45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69770E"/>
    <w:multiLevelType w:val="multilevel"/>
    <w:tmpl w:val="292E1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020E3"/>
    <w:multiLevelType w:val="hybridMultilevel"/>
    <w:tmpl w:val="EFA060E8"/>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7C358C"/>
    <w:multiLevelType w:val="multilevel"/>
    <w:tmpl w:val="D5AE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15F709F"/>
    <w:multiLevelType w:val="hybridMultilevel"/>
    <w:tmpl w:val="AABC5B9E"/>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1B30349"/>
    <w:multiLevelType w:val="hybridMultilevel"/>
    <w:tmpl w:val="4A6C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31392"/>
    <w:multiLevelType w:val="hybridMultilevel"/>
    <w:tmpl w:val="DE8E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105AE"/>
    <w:multiLevelType w:val="hybridMultilevel"/>
    <w:tmpl w:val="963E4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D928ED"/>
    <w:multiLevelType w:val="multilevel"/>
    <w:tmpl w:val="9844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241BE8"/>
    <w:multiLevelType w:val="hybridMultilevel"/>
    <w:tmpl w:val="827A18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0945CDE"/>
    <w:multiLevelType w:val="hybridMultilevel"/>
    <w:tmpl w:val="AF5AAFA8"/>
    <w:lvl w:ilvl="0" w:tplc="0409001B">
      <w:start w:val="1"/>
      <w:numFmt w:val="lowerRoman"/>
      <w:lvlText w:val="%1."/>
      <w:lvlJc w:val="righ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3">
    <w:nsid w:val="651B0181"/>
    <w:multiLevelType w:val="hybridMultilevel"/>
    <w:tmpl w:val="C6B80E8C"/>
    <w:lvl w:ilvl="0" w:tplc="0409001B">
      <w:start w:val="1"/>
      <w:numFmt w:val="lowerRoman"/>
      <w:lvlText w:val="%1."/>
      <w:lvlJc w:val="right"/>
      <w:pPr>
        <w:ind w:left="1080" w:hanging="360"/>
      </w:pPr>
      <w:rPr>
        <w:b w:val="0"/>
        <w:color w:val="auto"/>
      </w:rPr>
    </w:lvl>
    <w:lvl w:ilvl="1" w:tplc="F66652E2">
      <w:start w:val="1"/>
      <w:numFmt w:val="bullet"/>
      <w:lvlText w:val=""/>
      <w:lvlJc w:val="left"/>
      <w:pPr>
        <w:ind w:left="3240" w:hanging="360"/>
      </w:pPr>
      <w:rPr>
        <w:rFonts w:ascii="Symbol" w:hAnsi="Symbol" w:hint="default"/>
        <w:color w:val="auto"/>
      </w:rPr>
    </w:lvl>
    <w:lvl w:ilvl="2" w:tplc="692058FE">
      <w:start w:val="4"/>
      <w:numFmt w:val="bullet"/>
      <w:lvlText w:val="-"/>
      <w:lvlJc w:val="left"/>
      <w:pPr>
        <w:ind w:left="4140" w:hanging="360"/>
      </w:pPr>
      <w:rPr>
        <w:rFonts w:ascii="Calibri" w:eastAsia="Dotum" w:hAnsi="Calibri" w:cs="Calibri" w:hint="default"/>
      </w:r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4">
    <w:nsid w:val="67CD66B4"/>
    <w:multiLevelType w:val="hybridMultilevel"/>
    <w:tmpl w:val="AF5AAFA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A991C8B"/>
    <w:multiLevelType w:val="multilevel"/>
    <w:tmpl w:val="664AB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5F5ACC"/>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0D648E"/>
    <w:multiLevelType w:val="hybridMultilevel"/>
    <w:tmpl w:val="D778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7"/>
  </w:num>
  <w:num w:numId="4">
    <w:abstractNumId w:val="35"/>
  </w:num>
  <w:num w:numId="5">
    <w:abstractNumId w:val="13"/>
  </w:num>
  <w:num w:numId="6">
    <w:abstractNumId w:val="2"/>
  </w:num>
  <w:num w:numId="7">
    <w:abstractNumId w:val="1"/>
  </w:num>
  <w:num w:numId="8">
    <w:abstractNumId w:val="4"/>
  </w:num>
  <w:num w:numId="9">
    <w:abstractNumId w:val="0"/>
  </w:num>
  <w:num w:numId="10">
    <w:abstractNumId w:val="36"/>
  </w:num>
  <w:num w:numId="11">
    <w:abstractNumId w:val="25"/>
  </w:num>
  <w:num w:numId="12">
    <w:abstractNumId w:val="16"/>
  </w:num>
  <w:num w:numId="13">
    <w:abstractNumId w:val="20"/>
  </w:num>
  <w:num w:numId="14">
    <w:abstractNumId w:val="15"/>
  </w:num>
  <w:num w:numId="15">
    <w:abstractNumId w:val="11"/>
  </w:num>
  <w:num w:numId="16">
    <w:abstractNumId w:val="6"/>
  </w:num>
  <w:num w:numId="17">
    <w:abstractNumId w:val="28"/>
  </w:num>
  <w:num w:numId="18">
    <w:abstractNumId w:val="31"/>
  </w:num>
  <w:num w:numId="19">
    <w:abstractNumId w:val="10"/>
  </w:num>
  <w:num w:numId="20">
    <w:abstractNumId w:val="38"/>
  </w:num>
  <w:num w:numId="21">
    <w:abstractNumId w:val="24"/>
  </w:num>
  <w:num w:numId="22">
    <w:abstractNumId w:val="37"/>
  </w:num>
  <w:num w:numId="23">
    <w:abstractNumId w:val="21"/>
  </w:num>
  <w:num w:numId="24">
    <w:abstractNumId w:val="22"/>
  </w:num>
  <w:num w:numId="25">
    <w:abstractNumId w:val="30"/>
  </w:num>
  <w:num w:numId="26">
    <w:abstractNumId w:val="8"/>
  </w:num>
  <w:num w:numId="27">
    <w:abstractNumId w:val="33"/>
  </w:num>
  <w:num w:numId="28">
    <w:abstractNumId w:val="7"/>
  </w:num>
  <w:num w:numId="29">
    <w:abstractNumId w:val="19"/>
  </w:num>
  <w:num w:numId="30">
    <w:abstractNumId w:val="23"/>
  </w:num>
  <w:num w:numId="31">
    <w:abstractNumId w:val="18"/>
  </w:num>
  <w:num w:numId="32">
    <w:abstractNumId w:val="34"/>
  </w:num>
  <w:num w:numId="33">
    <w:abstractNumId w:val="26"/>
  </w:num>
  <w:num w:numId="34">
    <w:abstractNumId w:val="9"/>
  </w:num>
  <w:num w:numId="35">
    <w:abstractNumId w:val="32"/>
  </w:num>
  <w:num w:numId="36">
    <w:abstractNumId w:val="3"/>
  </w:num>
  <w:num w:numId="37">
    <w:abstractNumId w:val="12"/>
  </w:num>
  <w:num w:numId="38">
    <w:abstractNumId w:val="5"/>
  </w:num>
  <w:num w:numId="39">
    <w:abstractNumId w:val="39"/>
  </w:num>
  <w:num w:numId="40">
    <w:abstractNumId w:val="2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36EDC"/>
    <w:rsid w:val="00066066"/>
    <w:rsid w:val="00066C31"/>
    <w:rsid w:val="000B0EC9"/>
    <w:rsid w:val="000D2CF4"/>
    <w:rsid w:val="000E0203"/>
    <w:rsid w:val="00165F48"/>
    <w:rsid w:val="0017270F"/>
    <w:rsid w:val="001849B2"/>
    <w:rsid w:val="001A2460"/>
    <w:rsid w:val="00226561"/>
    <w:rsid w:val="00240825"/>
    <w:rsid w:val="002537F2"/>
    <w:rsid w:val="002711EB"/>
    <w:rsid w:val="00275679"/>
    <w:rsid w:val="00276CEB"/>
    <w:rsid w:val="002936DD"/>
    <w:rsid w:val="00295CD3"/>
    <w:rsid w:val="00305725"/>
    <w:rsid w:val="00315196"/>
    <w:rsid w:val="00331F28"/>
    <w:rsid w:val="003733FC"/>
    <w:rsid w:val="00373417"/>
    <w:rsid w:val="00397D22"/>
    <w:rsid w:val="003D27F1"/>
    <w:rsid w:val="00460325"/>
    <w:rsid w:val="00463B0C"/>
    <w:rsid w:val="004B1E95"/>
    <w:rsid w:val="004D4636"/>
    <w:rsid w:val="00507D71"/>
    <w:rsid w:val="00531E6D"/>
    <w:rsid w:val="00533723"/>
    <w:rsid w:val="00540020"/>
    <w:rsid w:val="005A555C"/>
    <w:rsid w:val="005D2C3D"/>
    <w:rsid w:val="00603073"/>
    <w:rsid w:val="00644285"/>
    <w:rsid w:val="00657F36"/>
    <w:rsid w:val="00670D34"/>
    <w:rsid w:val="006A4A3F"/>
    <w:rsid w:val="006B488C"/>
    <w:rsid w:val="006D4D88"/>
    <w:rsid w:val="0078263B"/>
    <w:rsid w:val="00784EBB"/>
    <w:rsid w:val="00796D6C"/>
    <w:rsid w:val="007B2100"/>
    <w:rsid w:val="007E60EC"/>
    <w:rsid w:val="0080035A"/>
    <w:rsid w:val="00811659"/>
    <w:rsid w:val="00856708"/>
    <w:rsid w:val="00870295"/>
    <w:rsid w:val="00893E0A"/>
    <w:rsid w:val="00896161"/>
    <w:rsid w:val="00896D1D"/>
    <w:rsid w:val="008E2BA6"/>
    <w:rsid w:val="00951B85"/>
    <w:rsid w:val="0098330C"/>
    <w:rsid w:val="009B5144"/>
    <w:rsid w:val="009E38CC"/>
    <w:rsid w:val="009E7EA5"/>
    <w:rsid w:val="00A410B1"/>
    <w:rsid w:val="00A74878"/>
    <w:rsid w:val="00AA7314"/>
    <w:rsid w:val="00AD7BB8"/>
    <w:rsid w:val="00B07D68"/>
    <w:rsid w:val="00B3726E"/>
    <w:rsid w:val="00BA0546"/>
    <w:rsid w:val="00C21A3C"/>
    <w:rsid w:val="00C25D3F"/>
    <w:rsid w:val="00C34D27"/>
    <w:rsid w:val="00CA09DA"/>
    <w:rsid w:val="00CD5856"/>
    <w:rsid w:val="00CF3B84"/>
    <w:rsid w:val="00D24193"/>
    <w:rsid w:val="00DA1AB9"/>
    <w:rsid w:val="00DB1925"/>
    <w:rsid w:val="00DD166F"/>
    <w:rsid w:val="00E16157"/>
    <w:rsid w:val="00E51DD0"/>
    <w:rsid w:val="00EB02B2"/>
    <w:rsid w:val="00EB78FB"/>
    <w:rsid w:val="00ED79DF"/>
    <w:rsid w:val="00EE252A"/>
    <w:rsid w:val="00F16E31"/>
    <w:rsid w:val="00F80F3F"/>
    <w:rsid w:val="00FB5BBC"/>
    <w:rsid w:val="00FD5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B4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B07D68"/>
    <w:pPr>
      <w:spacing w:after="225"/>
    </w:pPr>
    <w:rPr>
      <w:rFonts w:ascii="Times New Roman" w:eastAsia="Times New Roman" w:hAnsi="Times New Roman" w:cs="Times New Roman"/>
      <w:b/>
      <w:bCs/>
      <w:color w:val="000000"/>
      <w:sz w:val="21"/>
      <w:szCs w:val="21"/>
      <w:lang w:eastAsia="en-AU"/>
    </w:rPr>
  </w:style>
  <w:style w:type="character" w:styleId="Hyperlink">
    <w:name w:val="Hyperlink"/>
    <w:basedOn w:val="DefaultParagraphFont"/>
    <w:uiPriority w:val="99"/>
    <w:semiHidden/>
    <w:unhideWhenUsed/>
    <w:rsid w:val="00B07D68"/>
    <w:rPr>
      <w:color w:val="00335E"/>
      <w:u w:val="single"/>
    </w:rPr>
  </w:style>
  <w:style w:type="character" w:customStyle="1" w:styleId="reference">
    <w:name w:val="reference"/>
    <w:basedOn w:val="DefaultParagraphFont"/>
    <w:rsid w:val="00B07D68"/>
  </w:style>
  <w:style w:type="character" w:styleId="Strong">
    <w:name w:val="Strong"/>
    <w:basedOn w:val="DefaultParagraphFont"/>
    <w:uiPriority w:val="22"/>
    <w:qFormat/>
    <w:rsid w:val="00B07D68"/>
    <w:rPr>
      <w:b/>
      <w:bCs/>
    </w:rPr>
  </w:style>
  <w:style w:type="paragraph" w:styleId="NormalWeb">
    <w:name w:val="Normal (Web)"/>
    <w:basedOn w:val="Normal"/>
    <w:uiPriority w:val="99"/>
    <w:semiHidden/>
    <w:unhideWhenUsed/>
    <w:rsid w:val="00B07D6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eading">
    <w:name w:val="heading"/>
    <w:basedOn w:val="Normal"/>
    <w:rsid w:val="00B07D68"/>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B07D68"/>
    <w:rPr>
      <w:i/>
      <w:iCs/>
    </w:rPr>
  </w:style>
  <w:style w:type="character" w:styleId="CommentReference">
    <w:name w:val="annotation reference"/>
    <w:basedOn w:val="DefaultParagraphFont"/>
    <w:uiPriority w:val="99"/>
    <w:semiHidden/>
    <w:unhideWhenUsed/>
    <w:rsid w:val="00A74878"/>
    <w:rPr>
      <w:sz w:val="18"/>
      <w:szCs w:val="18"/>
    </w:rPr>
  </w:style>
  <w:style w:type="paragraph" w:styleId="CommentText">
    <w:name w:val="annotation text"/>
    <w:basedOn w:val="Normal"/>
    <w:link w:val="CommentTextChar"/>
    <w:uiPriority w:val="99"/>
    <w:semiHidden/>
    <w:unhideWhenUsed/>
    <w:rsid w:val="00F16E31"/>
    <w:rPr>
      <w:sz w:val="24"/>
      <w:szCs w:val="24"/>
    </w:rPr>
  </w:style>
  <w:style w:type="character" w:customStyle="1" w:styleId="CommentTextChar">
    <w:name w:val="Comment Text Char"/>
    <w:basedOn w:val="DefaultParagraphFont"/>
    <w:link w:val="CommentText"/>
    <w:uiPriority w:val="99"/>
    <w:semiHidden/>
    <w:rsid w:val="00F16E3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F16E31"/>
    <w:rPr>
      <w:b/>
      <w:bCs/>
      <w:sz w:val="20"/>
      <w:szCs w:val="20"/>
    </w:rPr>
  </w:style>
  <w:style w:type="character" w:customStyle="1" w:styleId="CommentSubjectChar">
    <w:name w:val="Comment Subject Char"/>
    <w:basedOn w:val="CommentTextChar"/>
    <w:link w:val="CommentSubject"/>
    <w:uiPriority w:val="99"/>
    <w:semiHidden/>
    <w:rsid w:val="00F16E31"/>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B07D68"/>
    <w:pPr>
      <w:spacing w:after="225"/>
    </w:pPr>
    <w:rPr>
      <w:rFonts w:ascii="Times New Roman" w:eastAsia="Times New Roman" w:hAnsi="Times New Roman" w:cs="Times New Roman"/>
      <w:b/>
      <w:bCs/>
      <w:color w:val="000000"/>
      <w:sz w:val="21"/>
      <w:szCs w:val="21"/>
      <w:lang w:eastAsia="en-AU"/>
    </w:rPr>
  </w:style>
  <w:style w:type="character" w:styleId="Hyperlink">
    <w:name w:val="Hyperlink"/>
    <w:basedOn w:val="DefaultParagraphFont"/>
    <w:uiPriority w:val="99"/>
    <w:semiHidden/>
    <w:unhideWhenUsed/>
    <w:rsid w:val="00B07D68"/>
    <w:rPr>
      <w:color w:val="00335E"/>
      <w:u w:val="single"/>
    </w:rPr>
  </w:style>
  <w:style w:type="character" w:customStyle="1" w:styleId="reference">
    <w:name w:val="reference"/>
    <w:basedOn w:val="DefaultParagraphFont"/>
    <w:rsid w:val="00B07D68"/>
  </w:style>
  <w:style w:type="character" w:styleId="Strong">
    <w:name w:val="Strong"/>
    <w:basedOn w:val="DefaultParagraphFont"/>
    <w:uiPriority w:val="22"/>
    <w:qFormat/>
    <w:rsid w:val="00B07D68"/>
    <w:rPr>
      <w:b/>
      <w:bCs/>
    </w:rPr>
  </w:style>
  <w:style w:type="paragraph" w:styleId="NormalWeb">
    <w:name w:val="Normal (Web)"/>
    <w:basedOn w:val="Normal"/>
    <w:uiPriority w:val="99"/>
    <w:semiHidden/>
    <w:unhideWhenUsed/>
    <w:rsid w:val="00B07D6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eading">
    <w:name w:val="heading"/>
    <w:basedOn w:val="Normal"/>
    <w:rsid w:val="00B07D68"/>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B07D68"/>
    <w:rPr>
      <w:i/>
      <w:iCs/>
    </w:rPr>
  </w:style>
  <w:style w:type="character" w:styleId="CommentReference">
    <w:name w:val="annotation reference"/>
    <w:basedOn w:val="DefaultParagraphFont"/>
    <w:uiPriority w:val="99"/>
    <w:semiHidden/>
    <w:unhideWhenUsed/>
    <w:rsid w:val="00A74878"/>
    <w:rPr>
      <w:sz w:val="18"/>
      <w:szCs w:val="18"/>
    </w:rPr>
  </w:style>
  <w:style w:type="paragraph" w:styleId="CommentText">
    <w:name w:val="annotation text"/>
    <w:basedOn w:val="Normal"/>
    <w:link w:val="CommentTextChar"/>
    <w:uiPriority w:val="99"/>
    <w:semiHidden/>
    <w:unhideWhenUsed/>
    <w:rsid w:val="00F16E31"/>
    <w:rPr>
      <w:sz w:val="24"/>
      <w:szCs w:val="24"/>
    </w:rPr>
  </w:style>
  <w:style w:type="character" w:customStyle="1" w:styleId="CommentTextChar">
    <w:name w:val="Comment Text Char"/>
    <w:basedOn w:val="DefaultParagraphFont"/>
    <w:link w:val="CommentText"/>
    <w:uiPriority w:val="99"/>
    <w:semiHidden/>
    <w:rsid w:val="00F16E3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F16E31"/>
    <w:rPr>
      <w:b/>
      <w:bCs/>
      <w:sz w:val="20"/>
      <w:szCs w:val="20"/>
    </w:rPr>
  </w:style>
  <w:style w:type="character" w:customStyle="1" w:styleId="CommentSubjectChar">
    <w:name w:val="Comment Subject Char"/>
    <w:basedOn w:val="CommentTextChar"/>
    <w:link w:val="CommentSubject"/>
    <w:uiPriority w:val="99"/>
    <w:semiHidden/>
    <w:rsid w:val="00F16E31"/>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2786">
      <w:bodyDiv w:val="1"/>
      <w:marLeft w:val="0"/>
      <w:marRight w:val="0"/>
      <w:marTop w:val="0"/>
      <w:marBottom w:val="0"/>
      <w:divBdr>
        <w:top w:val="none" w:sz="0" w:space="0" w:color="auto"/>
        <w:left w:val="none" w:sz="0" w:space="0" w:color="auto"/>
        <w:bottom w:val="none" w:sz="0" w:space="0" w:color="auto"/>
        <w:right w:val="none" w:sz="0" w:space="0" w:color="auto"/>
      </w:divBdr>
      <w:divsChild>
        <w:div w:id="1074624238">
          <w:marLeft w:val="0"/>
          <w:marRight w:val="0"/>
          <w:marTop w:val="0"/>
          <w:marBottom w:val="0"/>
          <w:divBdr>
            <w:top w:val="none" w:sz="0" w:space="0" w:color="auto"/>
            <w:left w:val="none" w:sz="0" w:space="0" w:color="auto"/>
            <w:bottom w:val="none" w:sz="0" w:space="0" w:color="auto"/>
            <w:right w:val="none" w:sz="0" w:space="0" w:color="auto"/>
          </w:divBdr>
          <w:divsChild>
            <w:div w:id="131729551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1350</Words>
  <Characters>7952</Characters>
  <Application>Microsoft Office Word</Application>
  <DocSecurity>0</DocSecurity>
  <Lines>378</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Melody Black</cp:lastModifiedBy>
  <cp:revision>6</cp:revision>
  <dcterms:created xsi:type="dcterms:W3CDTF">2015-06-12T05:23:00Z</dcterms:created>
  <dcterms:modified xsi:type="dcterms:W3CDTF">2015-06-13T15:51:00Z</dcterms:modified>
</cp:coreProperties>
</file>