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F32A6" w14:textId="77777777" w:rsidR="00F03CA8" w:rsidRDefault="00F03CA8" w:rsidP="00C9318E">
      <w:pPr>
        <w:pStyle w:val="Heading3"/>
        <w:rPr>
          <w:rFonts w:asciiTheme="minorHAnsi" w:hAnsiTheme="minorHAnsi"/>
          <w:b/>
          <w:color w:val="auto"/>
          <w:sz w:val="22"/>
          <w:szCs w:val="22"/>
        </w:rPr>
      </w:pPr>
    </w:p>
    <w:p w14:paraId="312DC164" w14:textId="3184B1C3" w:rsidR="00C9318E" w:rsidRDefault="00C9318E" w:rsidP="00C9318E">
      <w:pPr>
        <w:pStyle w:val="Heading3"/>
      </w:pPr>
      <w:r w:rsidRPr="00183EC7">
        <w:t xml:space="preserve">Specialist </w:t>
      </w:r>
      <w:r>
        <w:t>Working Group for Immunology</w:t>
      </w:r>
    </w:p>
    <w:p w14:paraId="4360E54E" w14:textId="77777777" w:rsidR="00C9318E" w:rsidRDefault="00C9318E" w:rsidP="00C9318E">
      <w:pPr>
        <w:pStyle w:val="Heading4"/>
        <w:rPr>
          <w:i/>
        </w:rPr>
      </w:pPr>
      <w:r>
        <w:t>Pr</w:t>
      </w:r>
      <w:r w:rsidRPr="00183EC7">
        <w:t xml:space="preserve">oposed changes to the </w:t>
      </w:r>
      <w:r w:rsidRPr="00843E7C">
        <w:rPr>
          <w:i/>
        </w:rPr>
        <w:t>Criteria for the clinical use of intravenous immunoglobulin in Australia</w:t>
      </w:r>
      <w:r>
        <w:rPr>
          <w:i/>
        </w:rPr>
        <w:t>, Second Edition</w:t>
      </w:r>
    </w:p>
    <w:p w14:paraId="2C4C0A84" w14:textId="77777777" w:rsidR="000A1147" w:rsidRDefault="000A1147" w:rsidP="00C9318E"/>
    <w:tbl>
      <w:tblPr>
        <w:tblStyle w:val="TableGrid"/>
        <w:tblW w:w="14895" w:type="dxa"/>
        <w:tblInd w:w="-34" w:type="dxa"/>
        <w:tblLayout w:type="fixed"/>
        <w:tblLook w:val="04A0" w:firstRow="1" w:lastRow="0" w:firstColumn="1" w:lastColumn="0" w:noHBand="0" w:noVBand="1"/>
      </w:tblPr>
      <w:tblGrid>
        <w:gridCol w:w="24"/>
        <w:gridCol w:w="9"/>
        <w:gridCol w:w="1654"/>
        <w:gridCol w:w="4408"/>
        <w:gridCol w:w="1145"/>
        <w:gridCol w:w="1134"/>
        <w:gridCol w:w="2540"/>
        <w:gridCol w:w="3969"/>
        <w:gridCol w:w="12"/>
      </w:tblGrid>
      <w:tr w:rsidR="007D5F16" w:rsidRPr="00CE1966" w14:paraId="0F1F42E9" w14:textId="77777777" w:rsidTr="00D97E23">
        <w:trPr>
          <w:trHeight w:val="699"/>
          <w:tblHeader/>
        </w:trPr>
        <w:tc>
          <w:tcPr>
            <w:tcW w:w="1687" w:type="dxa"/>
            <w:gridSpan w:val="3"/>
            <w:shd w:val="clear" w:color="auto" w:fill="DBE5F1" w:themeFill="accent1" w:themeFillTint="33"/>
          </w:tcPr>
          <w:p w14:paraId="30F8AFDC" w14:textId="509BF122" w:rsidR="007D5F16" w:rsidRPr="00CE1966" w:rsidRDefault="007D5F16" w:rsidP="00D764F3">
            <w:pPr>
              <w:rPr>
                <w:rFonts w:asciiTheme="minorHAnsi" w:hAnsiTheme="minorHAnsi"/>
                <w:b/>
              </w:rPr>
            </w:pPr>
            <w:r w:rsidRPr="00CE1966">
              <w:rPr>
                <w:rFonts w:asciiTheme="minorHAnsi" w:hAnsiTheme="minorHAnsi"/>
                <w:b/>
              </w:rPr>
              <w:t>ITEM</w:t>
            </w:r>
          </w:p>
        </w:tc>
        <w:tc>
          <w:tcPr>
            <w:tcW w:w="4408" w:type="dxa"/>
            <w:shd w:val="clear" w:color="auto" w:fill="DBE5F1" w:themeFill="accent1" w:themeFillTint="33"/>
          </w:tcPr>
          <w:p w14:paraId="4F7F67C2" w14:textId="5D191D86" w:rsidR="007D5F16" w:rsidRPr="00CE1966" w:rsidRDefault="00C9318E" w:rsidP="00A23319">
            <w:pPr>
              <w:rPr>
                <w:rFonts w:asciiTheme="minorHAnsi" w:hAnsiTheme="minorHAnsi"/>
                <w:b/>
              </w:rPr>
            </w:pPr>
            <w:r w:rsidRPr="00447869">
              <w:rPr>
                <w:rFonts w:asciiTheme="minorHAnsi" w:hAnsiTheme="minorHAnsi"/>
                <w:b/>
              </w:rPr>
              <w:t>CRITERIA FOR THE CLINICAL USE OF INTRAVENOUS IMMUNOGLOBULIN IN AUSTRALIA, SECOND EDITION (CRITERIA)</w:t>
            </w:r>
          </w:p>
        </w:tc>
        <w:tc>
          <w:tcPr>
            <w:tcW w:w="4819" w:type="dxa"/>
            <w:gridSpan w:val="3"/>
            <w:shd w:val="clear" w:color="auto" w:fill="DBE5F1" w:themeFill="accent1" w:themeFillTint="33"/>
          </w:tcPr>
          <w:p w14:paraId="65BC5956" w14:textId="77777777" w:rsidR="007D5F16" w:rsidRPr="00CE1966" w:rsidRDefault="007D5F16" w:rsidP="008A5596">
            <w:pPr>
              <w:rPr>
                <w:rFonts w:asciiTheme="minorHAnsi" w:hAnsiTheme="minorHAnsi"/>
                <w:b/>
              </w:rPr>
            </w:pPr>
            <w:r w:rsidRPr="00CE1966">
              <w:rPr>
                <w:rFonts w:asciiTheme="minorHAnsi" w:hAnsiTheme="minorHAnsi"/>
                <w:b/>
              </w:rPr>
              <w:t>PROPOSED REVISIONS TO THE CRITERIA (INCLUDING ADAPTATION TO THE IG SYSTEM)</w:t>
            </w:r>
          </w:p>
        </w:tc>
        <w:tc>
          <w:tcPr>
            <w:tcW w:w="3981" w:type="dxa"/>
            <w:gridSpan w:val="2"/>
            <w:shd w:val="clear" w:color="auto" w:fill="DBE5F1" w:themeFill="accent1" w:themeFillTint="33"/>
          </w:tcPr>
          <w:p w14:paraId="05BC2C9C" w14:textId="77777777" w:rsidR="007D5F16" w:rsidRPr="00CE1966" w:rsidRDefault="007D5F16" w:rsidP="004971CE">
            <w:pPr>
              <w:rPr>
                <w:rFonts w:asciiTheme="minorHAnsi" w:eastAsia="Times New Roman" w:hAnsiTheme="minorHAnsi" w:cs="Times New Roman"/>
                <w:b/>
                <w:bCs/>
                <w:lang w:eastAsia="en-AU"/>
              </w:rPr>
            </w:pPr>
            <w:r w:rsidRPr="00CE1966">
              <w:rPr>
                <w:rFonts w:asciiTheme="minorHAnsi" w:eastAsia="Times New Roman" w:hAnsiTheme="minorHAnsi" w:cs="Times New Roman"/>
                <w:b/>
                <w:bCs/>
                <w:lang w:eastAsia="en-AU"/>
              </w:rPr>
              <w:t>SWG RATIONALE FOR PROPOSED CHANGE</w:t>
            </w:r>
          </w:p>
          <w:p w14:paraId="1F081386" w14:textId="77777777" w:rsidR="007D5F16" w:rsidRPr="00CE1966" w:rsidRDefault="007D5F16" w:rsidP="004971CE">
            <w:pPr>
              <w:rPr>
                <w:rFonts w:asciiTheme="minorHAnsi" w:eastAsia="Times New Roman" w:hAnsiTheme="minorHAnsi" w:cs="Times New Roman"/>
                <w:b/>
                <w:bCs/>
                <w:lang w:eastAsia="en-AU"/>
              </w:rPr>
            </w:pPr>
            <w:r w:rsidRPr="00CE1966">
              <w:rPr>
                <w:rFonts w:asciiTheme="minorHAnsi" w:eastAsia="Times New Roman" w:hAnsiTheme="minorHAnsi" w:cs="Times New Roman"/>
                <w:b/>
                <w:bCs/>
                <w:lang w:eastAsia="en-AU"/>
              </w:rPr>
              <w:t>(A) Administrative)</w:t>
            </w:r>
          </w:p>
          <w:p w14:paraId="13E1ADA9" w14:textId="77777777" w:rsidR="007D5F16" w:rsidRPr="00CE1966" w:rsidRDefault="007D5F16" w:rsidP="004971CE">
            <w:pPr>
              <w:rPr>
                <w:rFonts w:asciiTheme="minorHAnsi" w:eastAsia="Times New Roman" w:hAnsiTheme="minorHAnsi" w:cs="Times New Roman"/>
                <w:b/>
                <w:bCs/>
                <w:lang w:eastAsia="en-AU"/>
              </w:rPr>
            </w:pPr>
            <w:r w:rsidRPr="00CE1966">
              <w:rPr>
                <w:rFonts w:asciiTheme="minorHAnsi" w:eastAsia="Times New Roman" w:hAnsiTheme="minorHAnsi" w:cs="Times New Roman"/>
                <w:b/>
                <w:bCs/>
                <w:lang w:eastAsia="en-AU"/>
              </w:rPr>
              <w:t xml:space="preserve">(B) Progressive </w:t>
            </w:r>
          </w:p>
          <w:p w14:paraId="53CFE5CA" w14:textId="77777777" w:rsidR="007D5F16" w:rsidRPr="00CE1966" w:rsidRDefault="007D5F16" w:rsidP="004971CE">
            <w:pPr>
              <w:rPr>
                <w:rFonts w:asciiTheme="minorHAnsi" w:eastAsia="Times New Roman" w:hAnsiTheme="minorHAnsi" w:cs="Times New Roman"/>
                <w:b/>
                <w:bCs/>
                <w:lang w:eastAsia="en-AU"/>
              </w:rPr>
            </w:pPr>
            <w:r w:rsidRPr="00CE1966">
              <w:rPr>
                <w:rFonts w:asciiTheme="minorHAnsi" w:eastAsia="Times New Roman" w:hAnsiTheme="minorHAnsi" w:cs="Times New Roman"/>
                <w:b/>
                <w:bCs/>
                <w:lang w:eastAsia="en-AU"/>
              </w:rPr>
              <w:t>(C) Programmed</w:t>
            </w:r>
          </w:p>
        </w:tc>
      </w:tr>
      <w:tr w:rsidR="007D5F16" w:rsidRPr="00CE1966" w14:paraId="35F9D2E0" w14:textId="77777777" w:rsidTr="00D97E23">
        <w:trPr>
          <w:trHeight w:val="699"/>
        </w:trPr>
        <w:tc>
          <w:tcPr>
            <w:tcW w:w="1687" w:type="dxa"/>
            <w:gridSpan w:val="3"/>
            <w:shd w:val="clear" w:color="auto" w:fill="D9D9D9" w:themeFill="background1" w:themeFillShade="D9"/>
          </w:tcPr>
          <w:p w14:paraId="3D56A010" w14:textId="77777777" w:rsidR="007D5F16" w:rsidRPr="00CE1966" w:rsidRDefault="007D5F16" w:rsidP="00D764F3">
            <w:pPr>
              <w:rPr>
                <w:rFonts w:asciiTheme="minorHAnsi" w:hAnsiTheme="minorHAnsi"/>
                <w:b/>
              </w:rPr>
            </w:pPr>
            <w:r w:rsidRPr="00CE1966">
              <w:rPr>
                <w:rFonts w:asciiTheme="minorHAnsi" w:hAnsiTheme="minorHAnsi"/>
                <w:b/>
              </w:rPr>
              <w:t>Condition Name</w:t>
            </w:r>
          </w:p>
        </w:tc>
        <w:tc>
          <w:tcPr>
            <w:tcW w:w="4408" w:type="dxa"/>
          </w:tcPr>
          <w:p w14:paraId="3F47613A" w14:textId="77777777" w:rsidR="007D5F16" w:rsidRPr="00CE1966" w:rsidRDefault="007D5F16" w:rsidP="00A23319">
            <w:pPr>
              <w:rPr>
                <w:rFonts w:asciiTheme="minorHAnsi" w:eastAsia="Times New Roman" w:hAnsiTheme="minorHAnsi" w:cs="Times New Roman"/>
                <w:bCs/>
                <w:lang w:eastAsia="en-AU"/>
              </w:rPr>
            </w:pPr>
            <w:r w:rsidRPr="00CE1966">
              <w:rPr>
                <w:rFonts w:asciiTheme="minorHAnsi" w:hAnsiTheme="minorHAnsi"/>
                <w:b/>
                <w:bCs/>
              </w:rPr>
              <w:t>Specific antibody deficiency</w:t>
            </w:r>
          </w:p>
        </w:tc>
        <w:tc>
          <w:tcPr>
            <w:tcW w:w="4819" w:type="dxa"/>
            <w:gridSpan w:val="3"/>
          </w:tcPr>
          <w:p w14:paraId="3069B8A0" w14:textId="77777777" w:rsidR="007D5F16" w:rsidRPr="00CE1966" w:rsidRDefault="007D5F16" w:rsidP="008A5596">
            <w:pPr>
              <w:rPr>
                <w:rFonts w:asciiTheme="minorHAnsi" w:hAnsiTheme="minorHAnsi"/>
              </w:rPr>
            </w:pPr>
            <w:r w:rsidRPr="00CE1966">
              <w:rPr>
                <w:rFonts w:asciiTheme="minorHAnsi" w:hAnsiTheme="minorHAnsi"/>
                <w:b/>
                <w:bCs/>
              </w:rPr>
              <w:t>Specific antibody deficiency</w:t>
            </w:r>
          </w:p>
        </w:tc>
        <w:tc>
          <w:tcPr>
            <w:tcW w:w="3981" w:type="dxa"/>
            <w:gridSpan w:val="2"/>
          </w:tcPr>
          <w:p w14:paraId="62DCA1B2" w14:textId="77777777" w:rsidR="007D5F16" w:rsidRPr="00CE1966" w:rsidRDefault="007D5F16" w:rsidP="004971CE">
            <w:pPr>
              <w:rPr>
                <w:rFonts w:asciiTheme="minorHAnsi" w:eastAsia="Times New Roman" w:hAnsiTheme="minorHAnsi" w:cs="Times New Roman"/>
                <w:b/>
                <w:bCs/>
                <w:lang w:eastAsia="en-AU"/>
              </w:rPr>
            </w:pPr>
          </w:p>
        </w:tc>
      </w:tr>
      <w:tr w:rsidR="007D5F16" w:rsidRPr="00CE1966" w14:paraId="3E867810" w14:textId="77777777" w:rsidTr="00D97E23">
        <w:trPr>
          <w:trHeight w:val="406"/>
        </w:trPr>
        <w:tc>
          <w:tcPr>
            <w:tcW w:w="1687" w:type="dxa"/>
            <w:gridSpan w:val="3"/>
            <w:shd w:val="clear" w:color="auto" w:fill="D9D9D9" w:themeFill="background1" w:themeFillShade="D9"/>
          </w:tcPr>
          <w:p w14:paraId="56504602" w14:textId="77777777" w:rsidR="007D5F16" w:rsidRPr="00CE1966" w:rsidRDefault="007D5F16" w:rsidP="00D764F3">
            <w:pPr>
              <w:rPr>
                <w:rFonts w:asciiTheme="minorHAnsi" w:hAnsiTheme="minorHAnsi"/>
                <w:b/>
              </w:rPr>
            </w:pPr>
            <w:r w:rsidRPr="00CE1966">
              <w:rPr>
                <w:rFonts w:asciiTheme="minorHAnsi" w:hAnsiTheme="minorHAnsi"/>
                <w:b/>
              </w:rPr>
              <w:t>Specialty</w:t>
            </w:r>
          </w:p>
        </w:tc>
        <w:tc>
          <w:tcPr>
            <w:tcW w:w="4408" w:type="dxa"/>
          </w:tcPr>
          <w:p w14:paraId="609AA2F3" w14:textId="77777777" w:rsidR="007D5F16" w:rsidRPr="00CE1966" w:rsidRDefault="007D5F16" w:rsidP="00D764F3">
            <w:pPr>
              <w:rPr>
                <w:rFonts w:asciiTheme="minorHAnsi" w:hAnsiTheme="minorHAnsi"/>
              </w:rPr>
            </w:pPr>
            <w:r>
              <w:rPr>
                <w:rFonts w:asciiTheme="minorHAnsi" w:hAnsiTheme="minorHAnsi"/>
              </w:rPr>
              <w:t>Immunology</w:t>
            </w:r>
          </w:p>
        </w:tc>
        <w:tc>
          <w:tcPr>
            <w:tcW w:w="4819" w:type="dxa"/>
            <w:gridSpan w:val="3"/>
          </w:tcPr>
          <w:p w14:paraId="276A3785" w14:textId="23F48279" w:rsidR="007D5F16" w:rsidRPr="00CE1966" w:rsidRDefault="007D5F16" w:rsidP="00D764F3">
            <w:pPr>
              <w:rPr>
                <w:rFonts w:asciiTheme="minorHAnsi" w:hAnsiTheme="minorHAnsi"/>
              </w:rPr>
            </w:pPr>
            <w:r w:rsidRPr="00134D9B">
              <w:rPr>
                <w:rFonts w:asciiTheme="minorHAnsi" w:hAnsiTheme="minorHAnsi"/>
              </w:rPr>
              <w:t>Immunology</w:t>
            </w:r>
          </w:p>
        </w:tc>
        <w:tc>
          <w:tcPr>
            <w:tcW w:w="3981" w:type="dxa"/>
            <w:gridSpan w:val="2"/>
          </w:tcPr>
          <w:p w14:paraId="30E0AABB" w14:textId="77777777" w:rsidR="007D5F16" w:rsidRPr="00CE1966" w:rsidRDefault="007D5F16" w:rsidP="00D764F3">
            <w:pPr>
              <w:rPr>
                <w:rFonts w:asciiTheme="minorHAnsi" w:hAnsiTheme="minorHAnsi"/>
              </w:rPr>
            </w:pPr>
          </w:p>
        </w:tc>
      </w:tr>
      <w:tr w:rsidR="007D5F16" w:rsidRPr="00CE1966" w14:paraId="477530B7" w14:textId="77777777" w:rsidTr="00D97E23">
        <w:trPr>
          <w:trHeight w:val="417"/>
        </w:trPr>
        <w:tc>
          <w:tcPr>
            <w:tcW w:w="1687" w:type="dxa"/>
            <w:gridSpan w:val="3"/>
            <w:shd w:val="clear" w:color="auto" w:fill="D9D9D9" w:themeFill="background1" w:themeFillShade="D9"/>
          </w:tcPr>
          <w:p w14:paraId="3E3B453E" w14:textId="77777777" w:rsidR="007D5F16" w:rsidRPr="00CE1966" w:rsidRDefault="007D5F16" w:rsidP="00D764F3">
            <w:pPr>
              <w:rPr>
                <w:rFonts w:asciiTheme="minorHAnsi" w:hAnsiTheme="minorHAnsi"/>
                <w:b/>
              </w:rPr>
            </w:pPr>
            <w:r w:rsidRPr="00CE1966">
              <w:rPr>
                <w:rFonts w:asciiTheme="minorHAnsi" w:hAnsiTheme="minorHAnsi"/>
                <w:b/>
              </w:rPr>
              <w:t>Chapter</w:t>
            </w:r>
          </w:p>
        </w:tc>
        <w:tc>
          <w:tcPr>
            <w:tcW w:w="4408" w:type="dxa"/>
          </w:tcPr>
          <w:p w14:paraId="02DC2AE0" w14:textId="77777777" w:rsidR="007D5F16" w:rsidRPr="00CE1966" w:rsidRDefault="007D5F16" w:rsidP="00D764F3">
            <w:pPr>
              <w:rPr>
                <w:rFonts w:asciiTheme="minorHAnsi" w:hAnsiTheme="minorHAnsi"/>
              </w:rPr>
            </w:pPr>
            <w:r>
              <w:rPr>
                <w:rFonts w:asciiTheme="minorHAnsi" w:hAnsiTheme="minorHAnsi"/>
              </w:rPr>
              <w:t>6</w:t>
            </w:r>
          </w:p>
        </w:tc>
        <w:tc>
          <w:tcPr>
            <w:tcW w:w="4819" w:type="dxa"/>
            <w:gridSpan w:val="3"/>
            <w:shd w:val="clear" w:color="auto" w:fill="auto"/>
          </w:tcPr>
          <w:p w14:paraId="53659490" w14:textId="347D7C64" w:rsidR="007D5F16" w:rsidRPr="00CE1966" w:rsidRDefault="007D5F16" w:rsidP="00D764F3">
            <w:pPr>
              <w:rPr>
                <w:rFonts w:asciiTheme="minorHAnsi" w:hAnsiTheme="minorHAnsi"/>
              </w:rPr>
            </w:pPr>
            <w:r>
              <w:rPr>
                <w:rFonts w:asciiTheme="minorHAnsi" w:hAnsiTheme="minorHAnsi"/>
              </w:rPr>
              <w:t>6</w:t>
            </w:r>
          </w:p>
        </w:tc>
        <w:tc>
          <w:tcPr>
            <w:tcW w:w="3981" w:type="dxa"/>
            <w:gridSpan w:val="2"/>
          </w:tcPr>
          <w:p w14:paraId="7B013333" w14:textId="77777777" w:rsidR="007D5F16" w:rsidRPr="00CE1966" w:rsidRDefault="007D5F16" w:rsidP="00D764F3">
            <w:pPr>
              <w:rPr>
                <w:rFonts w:asciiTheme="minorHAnsi" w:hAnsiTheme="minorHAnsi"/>
              </w:rPr>
            </w:pPr>
          </w:p>
        </w:tc>
      </w:tr>
      <w:tr w:rsidR="007D5F16" w:rsidRPr="00CE1966" w14:paraId="6EC88BBB" w14:textId="77777777" w:rsidTr="00D97E23">
        <w:tc>
          <w:tcPr>
            <w:tcW w:w="1687" w:type="dxa"/>
            <w:gridSpan w:val="3"/>
            <w:shd w:val="clear" w:color="auto" w:fill="D9D9D9" w:themeFill="background1" w:themeFillShade="D9"/>
          </w:tcPr>
          <w:p w14:paraId="75DAB02C" w14:textId="77777777" w:rsidR="007D5F16" w:rsidRPr="00CE1966" w:rsidRDefault="007D5F16" w:rsidP="00D764F3">
            <w:pPr>
              <w:rPr>
                <w:rFonts w:asciiTheme="minorHAnsi" w:hAnsiTheme="minorHAnsi"/>
                <w:b/>
              </w:rPr>
            </w:pPr>
            <w:r w:rsidRPr="00CE1966">
              <w:rPr>
                <w:rFonts w:asciiTheme="minorHAnsi" w:hAnsiTheme="minorHAnsi"/>
                <w:b/>
              </w:rPr>
              <w:t>Specific Conditions</w:t>
            </w:r>
          </w:p>
          <w:p w14:paraId="25C85239" w14:textId="77777777" w:rsidR="007D5F16" w:rsidRPr="00CE1966" w:rsidRDefault="007D5F16" w:rsidP="001B285D">
            <w:pPr>
              <w:rPr>
                <w:rFonts w:asciiTheme="minorHAnsi" w:hAnsiTheme="minorHAnsi"/>
                <w:b/>
              </w:rPr>
            </w:pPr>
          </w:p>
        </w:tc>
        <w:tc>
          <w:tcPr>
            <w:tcW w:w="4408" w:type="dxa"/>
          </w:tcPr>
          <w:p w14:paraId="73E7F892" w14:textId="77777777" w:rsidR="007D5F16" w:rsidRDefault="007D5F16" w:rsidP="00A23319">
            <w:pPr>
              <w:rPr>
                <w:rFonts w:asciiTheme="minorHAnsi" w:hAnsiTheme="minorHAnsi"/>
                <w:b/>
                <w:bCs/>
              </w:rPr>
            </w:pPr>
            <w:r w:rsidRPr="00CE1966">
              <w:rPr>
                <w:rFonts w:asciiTheme="minorHAnsi" w:hAnsiTheme="minorHAnsi"/>
                <w:b/>
                <w:bCs/>
              </w:rPr>
              <w:t>Specific antibody deficiency</w:t>
            </w:r>
          </w:p>
          <w:p w14:paraId="11072A94" w14:textId="2537F63F" w:rsidR="001B285D" w:rsidRPr="00CE1966" w:rsidRDefault="001B285D" w:rsidP="00A23319">
            <w:pPr>
              <w:rPr>
                <w:rFonts w:asciiTheme="minorHAnsi" w:eastAsia="Times New Roman" w:hAnsiTheme="minorHAnsi" w:cs="Times New Roman"/>
                <w:bCs/>
                <w:lang w:eastAsia="en-AU"/>
              </w:rPr>
            </w:pPr>
            <w:r>
              <w:rPr>
                <w:rFonts w:asciiTheme="minorHAnsi" w:hAnsiTheme="minorHAnsi"/>
                <w:b/>
                <w:bCs/>
              </w:rPr>
              <w:t>Existing IgG subclass</w:t>
            </w:r>
          </w:p>
        </w:tc>
        <w:tc>
          <w:tcPr>
            <w:tcW w:w="4819" w:type="dxa"/>
            <w:gridSpan w:val="3"/>
            <w:shd w:val="clear" w:color="auto" w:fill="auto"/>
          </w:tcPr>
          <w:p w14:paraId="5AF92962" w14:textId="77777777" w:rsidR="007D5F16" w:rsidRPr="007E7418" w:rsidRDefault="007D5F16" w:rsidP="001E6F4E">
            <w:pPr>
              <w:rPr>
                <w:rFonts w:asciiTheme="minorHAnsi" w:hAnsiTheme="minorHAnsi"/>
              </w:rPr>
            </w:pPr>
          </w:p>
        </w:tc>
        <w:tc>
          <w:tcPr>
            <w:tcW w:w="3981" w:type="dxa"/>
            <w:gridSpan w:val="2"/>
          </w:tcPr>
          <w:p w14:paraId="23B58898" w14:textId="77777777" w:rsidR="007D5F16" w:rsidRPr="00CE1966" w:rsidRDefault="007D5F16" w:rsidP="00780598">
            <w:pPr>
              <w:rPr>
                <w:rFonts w:asciiTheme="minorHAnsi" w:eastAsia="Times New Roman" w:hAnsiTheme="minorHAnsi" w:cs="Times New Roman"/>
                <w:bCs/>
                <w:lang w:eastAsia="en-AU"/>
              </w:rPr>
            </w:pPr>
          </w:p>
        </w:tc>
      </w:tr>
      <w:tr w:rsidR="007D5F16" w:rsidRPr="00CE1966" w14:paraId="1D5F1FD5" w14:textId="77777777" w:rsidTr="00D97E23">
        <w:trPr>
          <w:trHeight w:val="424"/>
        </w:trPr>
        <w:tc>
          <w:tcPr>
            <w:tcW w:w="1687" w:type="dxa"/>
            <w:gridSpan w:val="3"/>
            <w:shd w:val="clear" w:color="auto" w:fill="D9D9D9" w:themeFill="background1" w:themeFillShade="D9"/>
          </w:tcPr>
          <w:p w14:paraId="1EA565F8" w14:textId="77777777" w:rsidR="007D5F16" w:rsidRPr="00CE1966" w:rsidRDefault="007D5F16" w:rsidP="00D764F3">
            <w:pPr>
              <w:rPr>
                <w:rFonts w:asciiTheme="minorHAnsi" w:hAnsiTheme="minorHAnsi"/>
                <w:b/>
              </w:rPr>
            </w:pPr>
            <w:r w:rsidRPr="00CE1966">
              <w:rPr>
                <w:rFonts w:asciiTheme="minorHAnsi" w:hAnsiTheme="minorHAnsi"/>
                <w:b/>
              </w:rPr>
              <w:t>Level of Evidence</w:t>
            </w:r>
          </w:p>
          <w:p w14:paraId="4A459743" w14:textId="24C6A656" w:rsidR="007D5F16" w:rsidRPr="00CE1966" w:rsidRDefault="007D5F16" w:rsidP="00D764F3">
            <w:pPr>
              <w:rPr>
                <w:rFonts w:asciiTheme="minorHAnsi" w:hAnsiTheme="minorHAnsi"/>
              </w:rPr>
            </w:pPr>
          </w:p>
        </w:tc>
        <w:tc>
          <w:tcPr>
            <w:tcW w:w="4408" w:type="dxa"/>
          </w:tcPr>
          <w:p w14:paraId="6AC8B9B5" w14:textId="77777777" w:rsidR="007D5F16" w:rsidRPr="00CE1966" w:rsidRDefault="007D5F16" w:rsidP="00D764F3">
            <w:pPr>
              <w:rPr>
                <w:rFonts w:asciiTheme="minorHAnsi" w:eastAsia="Times New Roman" w:hAnsiTheme="minorHAnsi" w:cs="Times New Roman"/>
                <w:color w:val="000000"/>
                <w:lang w:eastAsia="en-AU"/>
              </w:rPr>
            </w:pPr>
            <w:r w:rsidRPr="00CE1966">
              <w:rPr>
                <w:rFonts w:asciiTheme="minorHAnsi" w:hAnsiTheme="minorHAnsi"/>
                <w:color w:val="000000"/>
              </w:rPr>
              <w:t>Small case studies only, insufficient data (</w:t>
            </w:r>
            <w:hyperlink r:id="rId12" w:anchor="el-4a" w:history="1">
              <w:r w:rsidRPr="00CE1966">
                <w:rPr>
                  <w:rStyle w:val="Hyperlink"/>
                  <w:rFonts w:asciiTheme="minorHAnsi" w:hAnsiTheme="minorHAnsi"/>
                </w:rPr>
                <w:t>Category 4a</w:t>
              </w:r>
            </w:hyperlink>
            <w:r w:rsidRPr="00CE1966">
              <w:rPr>
                <w:rFonts w:asciiTheme="minorHAnsi" w:hAnsiTheme="minorHAnsi"/>
                <w:color w:val="000000"/>
              </w:rPr>
              <w:t>).</w:t>
            </w:r>
          </w:p>
        </w:tc>
        <w:tc>
          <w:tcPr>
            <w:tcW w:w="4819" w:type="dxa"/>
            <w:gridSpan w:val="3"/>
            <w:shd w:val="clear" w:color="auto" w:fill="auto"/>
          </w:tcPr>
          <w:p w14:paraId="318942D3" w14:textId="77777777" w:rsidR="007D5F16" w:rsidRPr="007E7418" w:rsidRDefault="007D5F16" w:rsidP="00D764F3">
            <w:pPr>
              <w:rPr>
                <w:rFonts w:asciiTheme="minorHAnsi" w:hAnsiTheme="minorHAnsi" w:cstheme="minorHAnsi"/>
              </w:rPr>
            </w:pPr>
            <w:r w:rsidRPr="007E7418">
              <w:rPr>
                <w:rFonts w:asciiTheme="minorHAnsi" w:hAnsiTheme="minorHAnsi"/>
                <w:color w:val="000000"/>
              </w:rPr>
              <w:t>Small case studies only, insufficient data (</w:t>
            </w:r>
            <w:hyperlink r:id="rId13" w:anchor="el-4a" w:history="1">
              <w:r w:rsidRPr="007E7418">
                <w:rPr>
                  <w:rStyle w:val="Hyperlink"/>
                  <w:rFonts w:asciiTheme="minorHAnsi" w:hAnsiTheme="minorHAnsi"/>
                </w:rPr>
                <w:t>Category 4a</w:t>
              </w:r>
            </w:hyperlink>
            <w:r w:rsidRPr="007E7418">
              <w:rPr>
                <w:rFonts w:asciiTheme="minorHAnsi" w:hAnsiTheme="minorHAnsi"/>
                <w:color w:val="000000"/>
              </w:rPr>
              <w:t>).</w:t>
            </w:r>
          </w:p>
        </w:tc>
        <w:tc>
          <w:tcPr>
            <w:tcW w:w="3981" w:type="dxa"/>
            <w:gridSpan w:val="2"/>
          </w:tcPr>
          <w:p w14:paraId="79D56C0B" w14:textId="77777777" w:rsidR="007D5F16" w:rsidRPr="00CE1966" w:rsidRDefault="007D5F16" w:rsidP="00D764F3">
            <w:pPr>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 xml:space="preserve">Unchanged </w:t>
            </w:r>
          </w:p>
        </w:tc>
      </w:tr>
      <w:tr w:rsidR="007D5F16" w:rsidRPr="00CE1966" w14:paraId="325E0033" w14:textId="77777777" w:rsidTr="00D97E23">
        <w:trPr>
          <w:trHeight w:val="984"/>
        </w:trPr>
        <w:tc>
          <w:tcPr>
            <w:tcW w:w="1687" w:type="dxa"/>
            <w:gridSpan w:val="3"/>
            <w:shd w:val="clear" w:color="auto" w:fill="D9D9D9" w:themeFill="background1" w:themeFillShade="D9"/>
          </w:tcPr>
          <w:p w14:paraId="655501B2" w14:textId="77777777" w:rsidR="007D5F16" w:rsidRPr="00CE1966" w:rsidRDefault="007D5F16" w:rsidP="00D764F3">
            <w:pPr>
              <w:rPr>
                <w:rFonts w:asciiTheme="minorHAnsi" w:hAnsiTheme="minorHAnsi"/>
                <w:b/>
              </w:rPr>
            </w:pPr>
            <w:r w:rsidRPr="00CE1966">
              <w:rPr>
                <w:rFonts w:asciiTheme="minorHAnsi" w:hAnsiTheme="minorHAnsi"/>
                <w:b/>
              </w:rPr>
              <w:t>Justification for Evidence Category</w:t>
            </w:r>
          </w:p>
          <w:p w14:paraId="092F0945" w14:textId="0B716BBF" w:rsidR="007D5F16" w:rsidRPr="00CE1966" w:rsidRDefault="007D5F16" w:rsidP="00D764F3">
            <w:pPr>
              <w:rPr>
                <w:rFonts w:asciiTheme="minorHAnsi" w:hAnsiTheme="minorHAnsi"/>
                <w:b/>
              </w:rPr>
            </w:pPr>
          </w:p>
        </w:tc>
        <w:tc>
          <w:tcPr>
            <w:tcW w:w="4408" w:type="dxa"/>
          </w:tcPr>
          <w:p w14:paraId="6C835C5A" w14:textId="77777777" w:rsidR="007D5F16" w:rsidRPr="00CE1966" w:rsidRDefault="007D5F16" w:rsidP="00040E71">
            <w:pPr>
              <w:spacing w:after="225" w:line="360" w:lineRule="atLeast"/>
              <w:rPr>
                <w:rFonts w:asciiTheme="minorHAnsi" w:eastAsia="Times New Roman" w:hAnsiTheme="minorHAnsi" w:cs="Times New Roman"/>
                <w:color w:val="000000"/>
                <w:lang w:eastAsia="en-AU"/>
              </w:rPr>
            </w:pPr>
          </w:p>
        </w:tc>
        <w:tc>
          <w:tcPr>
            <w:tcW w:w="4819" w:type="dxa"/>
            <w:gridSpan w:val="3"/>
            <w:shd w:val="clear" w:color="auto" w:fill="auto"/>
          </w:tcPr>
          <w:p w14:paraId="067AE30F" w14:textId="77777777" w:rsidR="007D5F16" w:rsidRPr="00CE1966" w:rsidRDefault="007D5F16" w:rsidP="005E0B4A">
            <w:pPr>
              <w:rPr>
                <w:rFonts w:asciiTheme="minorHAnsi" w:hAnsiTheme="minorHAnsi"/>
                <w:strike/>
              </w:rPr>
            </w:pPr>
          </w:p>
        </w:tc>
        <w:tc>
          <w:tcPr>
            <w:tcW w:w="3981" w:type="dxa"/>
            <w:gridSpan w:val="2"/>
          </w:tcPr>
          <w:p w14:paraId="54D75FA8" w14:textId="193F2581" w:rsidR="007D5F16" w:rsidRPr="00CE1966" w:rsidRDefault="007D5F16" w:rsidP="001E6F4E">
            <w:pPr>
              <w:spacing w:after="240" w:line="20" w:lineRule="atLeast"/>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 xml:space="preserve">No update to this section </w:t>
            </w:r>
          </w:p>
          <w:p w14:paraId="657D85E6" w14:textId="77777777" w:rsidR="007D5F16" w:rsidRPr="00CE1966" w:rsidRDefault="007D5F16" w:rsidP="001E6F4E">
            <w:pPr>
              <w:spacing w:after="240" w:line="20" w:lineRule="atLeast"/>
              <w:rPr>
                <w:rFonts w:asciiTheme="minorHAnsi" w:eastAsia="Times New Roman" w:hAnsiTheme="minorHAnsi" w:cs="Times New Roman"/>
                <w:color w:val="000000"/>
                <w:lang w:eastAsia="en-AU"/>
              </w:rPr>
            </w:pPr>
          </w:p>
        </w:tc>
      </w:tr>
      <w:tr w:rsidR="007D5F16" w:rsidRPr="00CE1966" w14:paraId="68C04A55" w14:textId="77777777" w:rsidTr="00D97E23">
        <w:trPr>
          <w:trHeight w:val="984"/>
        </w:trPr>
        <w:tc>
          <w:tcPr>
            <w:tcW w:w="1687" w:type="dxa"/>
            <w:gridSpan w:val="3"/>
            <w:shd w:val="clear" w:color="auto" w:fill="D9D9D9" w:themeFill="background1" w:themeFillShade="D9"/>
          </w:tcPr>
          <w:p w14:paraId="5B3A8269" w14:textId="77777777" w:rsidR="007D5F16" w:rsidRPr="00CE1966" w:rsidRDefault="007D5F16" w:rsidP="00D764F3">
            <w:pPr>
              <w:rPr>
                <w:rFonts w:asciiTheme="minorHAnsi" w:hAnsiTheme="minorHAnsi"/>
                <w:b/>
              </w:rPr>
            </w:pPr>
            <w:r w:rsidRPr="00CE1966">
              <w:rPr>
                <w:rFonts w:asciiTheme="minorHAnsi" w:hAnsiTheme="minorHAnsi"/>
                <w:b/>
              </w:rPr>
              <w:t>Description and Diagnostic Criteria</w:t>
            </w:r>
          </w:p>
          <w:p w14:paraId="6EA9E6D6" w14:textId="58A450FB" w:rsidR="007D5F16" w:rsidRPr="00CE1966" w:rsidRDefault="000A1147" w:rsidP="00D764F3">
            <w:pPr>
              <w:rPr>
                <w:rFonts w:asciiTheme="minorHAnsi" w:hAnsiTheme="minorHAnsi"/>
                <w:b/>
              </w:rPr>
            </w:pPr>
            <w:r>
              <w:rPr>
                <w:rFonts w:asciiTheme="minorHAnsi" w:hAnsiTheme="minorHAnsi"/>
              </w:rPr>
              <w:t xml:space="preserve"> </w:t>
            </w:r>
          </w:p>
        </w:tc>
        <w:tc>
          <w:tcPr>
            <w:tcW w:w="4408" w:type="dxa"/>
          </w:tcPr>
          <w:p w14:paraId="070980C7" w14:textId="77777777" w:rsidR="007D5F16" w:rsidRPr="00CE1966" w:rsidRDefault="007D5F16" w:rsidP="001B285D">
            <w:pPr>
              <w:spacing w:after="225" w:line="276" w:lineRule="auto"/>
              <w:rPr>
                <w:rFonts w:asciiTheme="minorHAnsi" w:eastAsia="Times New Roman" w:hAnsiTheme="minorHAnsi" w:cs="Times New Roman"/>
                <w:color w:val="000000"/>
                <w:lang w:eastAsia="en-AU"/>
              </w:rPr>
            </w:pPr>
            <w:r w:rsidRPr="00CE1966">
              <w:rPr>
                <w:rFonts w:asciiTheme="minorHAnsi" w:eastAsia="Times New Roman" w:hAnsiTheme="minorHAnsi" w:cs="Times New Roman"/>
                <w:color w:val="000000"/>
                <w:lang w:eastAsia="en-AU"/>
              </w:rPr>
              <w:t>The term ‘specific antibody deficiency’ describes failure of specific antibody response to an antigen challenge, and is most often used in the more restrictive sense of applying to polysaccharide antibody responses only.</w:t>
            </w:r>
          </w:p>
          <w:p w14:paraId="129E0E77" w14:textId="77777777" w:rsidR="007D5F16" w:rsidRPr="00CE1966" w:rsidRDefault="007D5F16" w:rsidP="001B285D">
            <w:pPr>
              <w:spacing w:after="225" w:line="276" w:lineRule="auto"/>
              <w:rPr>
                <w:rFonts w:asciiTheme="minorHAnsi" w:eastAsia="Times New Roman" w:hAnsiTheme="minorHAnsi" w:cs="Times New Roman"/>
                <w:color w:val="000000"/>
                <w:lang w:eastAsia="en-AU"/>
              </w:rPr>
            </w:pPr>
            <w:r w:rsidRPr="00CE1966">
              <w:rPr>
                <w:rFonts w:asciiTheme="minorHAnsi" w:eastAsia="Times New Roman" w:hAnsiTheme="minorHAnsi" w:cs="Times New Roman"/>
                <w:color w:val="000000"/>
                <w:lang w:eastAsia="en-AU"/>
              </w:rPr>
              <w:t xml:space="preserve">Patients who have normal total IgG levels but impaired production of specific antibodies, including those with isolated deficient responses to numerous polysaccharide </w:t>
            </w:r>
            <w:r w:rsidRPr="00CE1966">
              <w:rPr>
                <w:rFonts w:asciiTheme="minorHAnsi" w:eastAsia="Times New Roman" w:hAnsiTheme="minorHAnsi" w:cs="Times New Roman"/>
                <w:color w:val="000000"/>
                <w:lang w:eastAsia="en-AU"/>
              </w:rPr>
              <w:lastRenderedPageBreak/>
              <w:t>antigens after vaccination, can present a diagnostic challenge. IgG replacement therapy should be provided when there is well-documented severe polysaccharide non-responsiveness and evidence of recurrent infections with a documented requirement for antibiotic therapy and ongoing recurrent infections despite antibiotic prophylaxis (Orange et al 2006).</w:t>
            </w:r>
          </w:p>
          <w:p w14:paraId="549D993C" w14:textId="77777777" w:rsidR="007D5F16" w:rsidRPr="00CE1966" w:rsidRDefault="007D5F16" w:rsidP="001B285D">
            <w:pPr>
              <w:spacing w:after="225" w:line="276" w:lineRule="auto"/>
              <w:rPr>
                <w:rFonts w:asciiTheme="minorHAnsi" w:eastAsia="Times New Roman" w:hAnsiTheme="minorHAnsi" w:cs="Times New Roman"/>
                <w:color w:val="000000"/>
                <w:lang w:eastAsia="en-AU"/>
              </w:rPr>
            </w:pPr>
            <w:r w:rsidRPr="00CE1966">
              <w:rPr>
                <w:rFonts w:asciiTheme="minorHAnsi" w:eastAsia="Times New Roman" w:hAnsiTheme="minorHAnsi" w:cs="Times New Roman"/>
                <w:color w:val="000000"/>
                <w:lang w:eastAsia="en-AU"/>
              </w:rPr>
              <w:t>It is now generally agreed that IgG subclass level estimation in serum is relatively poorly predictive of infectious risk and is of limited value in the definition of those patients most likely to benefit from IVIg therapy.</w:t>
            </w:r>
          </w:p>
          <w:p w14:paraId="3D0C80DE" w14:textId="77777777" w:rsidR="007D5F16" w:rsidRPr="00CE1966" w:rsidRDefault="007D5F16" w:rsidP="001B285D">
            <w:pPr>
              <w:spacing w:after="225" w:line="276" w:lineRule="auto"/>
              <w:rPr>
                <w:rFonts w:asciiTheme="minorHAnsi" w:eastAsia="Times New Roman" w:hAnsiTheme="minorHAnsi" w:cs="Times New Roman"/>
                <w:color w:val="000000"/>
                <w:lang w:eastAsia="en-AU"/>
              </w:rPr>
            </w:pPr>
            <w:r w:rsidRPr="00CE1966">
              <w:rPr>
                <w:rFonts w:asciiTheme="minorHAnsi" w:eastAsia="Times New Roman" w:hAnsiTheme="minorHAnsi" w:cs="Times New Roman"/>
                <w:color w:val="000000"/>
                <w:lang w:eastAsia="en-AU"/>
              </w:rPr>
              <w:t>Further research investigating clinical and laboratory features of this disorder is required.</w:t>
            </w:r>
          </w:p>
          <w:p w14:paraId="23B897F9" w14:textId="77777777" w:rsidR="007D5F16" w:rsidRPr="00CE1966" w:rsidRDefault="007D5F16" w:rsidP="009715A9">
            <w:pPr>
              <w:spacing w:after="240" w:line="20" w:lineRule="atLeast"/>
              <w:ind w:firstLine="720"/>
              <w:rPr>
                <w:rFonts w:asciiTheme="minorHAnsi" w:eastAsia="Times New Roman" w:hAnsiTheme="minorHAnsi" w:cs="Times New Roman"/>
                <w:color w:val="000000"/>
                <w:lang w:eastAsia="en-AU"/>
              </w:rPr>
            </w:pPr>
          </w:p>
        </w:tc>
        <w:tc>
          <w:tcPr>
            <w:tcW w:w="4819" w:type="dxa"/>
            <w:gridSpan w:val="3"/>
            <w:shd w:val="clear" w:color="auto" w:fill="auto"/>
          </w:tcPr>
          <w:p w14:paraId="7BAADE54" w14:textId="0F98F3F4" w:rsidR="007D5F16" w:rsidRPr="004B5DAA" w:rsidRDefault="007D5F16" w:rsidP="001B285D">
            <w:pPr>
              <w:spacing w:after="120" w:line="276" w:lineRule="auto"/>
              <w:ind w:left="34" w:hanging="34"/>
              <w:rPr>
                <w:rFonts w:cs="Times New Roman"/>
                <w:color w:val="000000"/>
                <w:lang w:eastAsia="en-AU"/>
              </w:rPr>
            </w:pPr>
            <w:r w:rsidRPr="004B5DAA">
              <w:rPr>
                <w:rFonts w:cs="Times New Roman"/>
                <w:color w:val="000000"/>
                <w:lang w:eastAsia="en-AU"/>
              </w:rPr>
              <w:lastRenderedPageBreak/>
              <w:t xml:space="preserve">The term ‘specific antibody deficiency’ describes failure to produce a normal </w:t>
            </w:r>
            <w:r w:rsidRPr="00134D9B">
              <w:rPr>
                <w:rFonts w:cs="Times New Roman"/>
                <w:color w:val="000000"/>
                <w:lang w:eastAsia="en-AU"/>
              </w:rPr>
              <w:t xml:space="preserve">immunoglobulin G </w:t>
            </w:r>
            <w:r>
              <w:rPr>
                <w:rFonts w:cs="Times New Roman"/>
                <w:color w:val="000000"/>
                <w:lang w:eastAsia="en-AU"/>
              </w:rPr>
              <w:t>(</w:t>
            </w:r>
            <w:r w:rsidRPr="004B5DAA">
              <w:rPr>
                <w:rFonts w:cs="Times New Roman"/>
                <w:color w:val="000000"/>
                <w:lang w:eastAsia="en-AU"/>
              </w:rPr>
              <w:t>IgG</w:t>
            </w:r>
            <w:r>
              <w:rPr>
                <w:rFonts w:cs="Times New Roman"/>
                <w:color w:val="000000"/>
                <w:lang w:eastAsia="en-AU"/>
              </w:rPr>
              <w:t>)</w:t>
            </w:r>
            <w:r w:rsidRPr="004B5DAA">
              <w:rPr>
                <w:rFonts w:cs="Times New Roman"/>
                <w:color w:val="000000"/>
                <w:lang w:eastAsia="en-AU"/>
              </w:rPr>
              <w:t xml:space="preserve"> antibody response following antigen challenge in an individual with a normal serum total IgG level. It is most often used in the context of impaired IgG antibody responses against polysaccharide antigens, particularly pneumococcal polysaccharides (</w:t>
            </w:r>
            <w:r w:rsidRPr="004B5DAA">
              <w:t xml:space="preserve">Boyle </w:t>
            </w:r>
            <w:r>
              <w:t>et al 2006</w:t>
            </w:r>
            <w:r w:rsidRPr="004B5DAA">
              <w:t>)</w:t>
            </w:r>
            <w:r w:rsidRPr="004B5DAA">
              <w:rPr>
                <w:rFonts w:cs="Times New Roman"/>
                <w:color w:val="000000"/>
                <w:lang w:eastAsia="en-AU"/>
              </w:rPr>
              <w:t>.</w:t>
            </w:r>
          </w:p>
          <w:p w14:paraId="65204987" w14:textId="1BADAF84" w:rsidR="007D5F16" w:rsidRPr="004B5DAA" w:rsidRDefault="007D5F16" w:rsidP="001B285D">
            <w:pPr>
              <w:pStyle w:val="HTMLPreformatted"/>
              <w:spacing w:line="276" w:lineRule="auto"/>
              <w:ind w:left="34" w:hanging="34"/>
              <w:rPr>
                <w:rFonts w:ascii="Calibri" w:hAnsi="Calibri" w:cs="Times New Roman"/>
                <w:color w:val="000000"/>
                <w:sz w:val="22"/>
                <w:szCs w:val="22"/>
              </w:rPr>
            </w:pPr>
            <w:r w:rsidRPr="004B5DAA">
              <w:rPr>
                <w:rFonts w:ascii="Calibri" w:hAnsi="Calibri" w:cs="Times New Roman"/>
                <w:color w:val="000000"/>
                <w:sz w:val="22"/>
                <w:szCs w:val="22"/>
              </w:rPr>
              <w:t xml:space="preserve">The definition of an abnormal IgG antibody </w:t>
            </w:r>
            <w:r w:rsidRPr="004B5DAA">
              <w:rPr>
                <w:rFonts w:ascii="Calibri" w:hAnsi="Calibri" w:cs="Times New Roman"/>
                <w:color w:val="000000"/>
                <w:sz w:val="22"/>
                <w:szCs w:val="22"/>
              </w:rPr>
              <w:lastRenderedPageBreak/>
              <w:t>response following vaccination with pneumococcal polysaccharides is still debated</w:t>
            </w:r>
            <w:r>
              <w:rPr>
                <w:rFonts w:ascii="Calibri" w:hAnsi="Calibri" w:cs="Times New Roman"/>
                <w:color w:val="000000"/>
                <w:sz w:val="22"/>
                <w:szCs w:val="22"/>
              </w:rPr>
              <w:t>,</w:t>
            </w:r>
            <w:r w:rsidRPr="004B5DAA">
              <w:rPr>
                <w:rFonts w:ascii="Calibri" w:hAnsi="Calibri" w:cs="Times New Roman"/>
                <w:color w:val="000000"/>
                <w:sz w:val="22"/>
                <w:szCs w:val="22"/>
              </w:rPr>
              <w:t xml:space="preserve"> but data are available to provide a working definition (</w:t>
            </w:r>
            <w:r w:rsidRPr="004B5DAA">
              <w:rPr>
                <w:rFonts w:ascii="Calibri" w:hAnsi="Calibri"/>
                <w:sz w:val="22"/>
                <w:szCs w:val="22"/>
              </w:rPr>
              <w:t>Boyle et al 2006</w:t>
            </w:r>
            <w:r>
              <w:rPr>
                <w:rFonts w:ascii="Calibri" w:hAnsi="Calibri"/>
                <w:sz w:val="22"/>
                <w:szCs w:val="22"/>
              </w:rPr>
              <w:t>,</w:t>
            </w:r>
            <w:r w:rsidRPr="004B5DAA">
              <w:rPr>
                <w:rFonts w:ascii="Calibri" w:hAnsi="Calibri"/>
                <w:sz w:val="22"/>
                <w:szCs w:val="22"/>
              </w:rPr>
              <w:t xml:space="preserve"> Hare et al 2009</w:t>
            </w:r>
            <w:r>
              <w:rPr>
                <w:rFonts w:ascii="Calibri" w:hAnsi="Calibri"/>
                <w:sz w:val="22"/>
                <w:szCs w:val="22"/>
              </w:rPr>
              <w:t>,</w:t>
            </w:r>
            <w:r w:rsidRPr="004B5DAA">
              <w:rPr>
                <w:rFonts w:ascii="Calibri" w:hAnsi="Calibri"/>
                <w:sz w:val="22"/>
                <w:szCs w:val="22"/>
              </w:rPr>
              <w:t xml:space="preserve"> Borgers et al 2012):</w:t>
            </w:r>
          </w:p>
          <w:p w14:paraId="174E8C64" w14:textId="71330CDA" w:rsidR="007D5F16" w:rsidRPr="004B5DAA" w:rsidRDefault="007D5F16" w:rsidP="001B285D">
            <w:pPr>
              <w:pStyle w:val="ListParagraph"/>
              <w:numPr>
                <w:ilvl w:val="0"/>
                <w:numId w:val="15"/>
              </w:numPr>
              <w:spacing w:line="276" w:lineRule="auto"/>
              <w:ind w:left="34" w:hanging="34"/>
              <w:rPr>
                <w:rFonts w:eastAsia="Times New Roman" w:cs="Times New Roman"/>
              </w:rPr>
            </w:pPr>
            <w:r w:rsidRPr="004B5DAA">
              <w:t>IgG, preferably IgG2, antibodies to multiple serotypes of pneumococcal polysaccharide (PcP) should be assayed, with decisions on serotype selection based on their immunogenicity in relation to age.</w:t>
            </w:r>
          </w:p>
          <w:p w14:paraId="3B6C91A6" w14:textId="237F12FF" w:rsidR="007D5F16" w:rsidRPr="004B5DAA" w:rsidRDefault="007D5F16" w:rsidP="001B285D">
            <w:pPr>
              <w:pStyle w:val="ListParagraph"/>
              <w:numPr>
                <w:ilvl w:val="0"/>
                <w:numId w:val="15"/>
              </w:numPr>
              <w:spacing w:line="276" w:lineRule="auto"/>
              <w:ind w:left="34" w:hanging="34"/>
              <w:contextualSpacing w:val="0"/>
            </w:pPr>
            <w:r w:rsidRPr="004B5DAA">
              <w:t>Only antibody responses against PcP serotypes with a pre-vaccination serum antibody level of &lt;1.3</w:t>
            </w:r>
            <w:r>
              <w:t> </w:t>
            </w:r>
            <w:r w:rsidRPr="004B5DAA">
              <w:t>mg/L should be considered.</w:t>
            </w:r>
          </w:p>
          <w:p w14:paraId="4F1C656B" w14:textId="36DCBF5D" w:rsidR="007D5F16" w:rsidRPr="004B5DAA" w:rsidRDefault="007D5F16" w:rsidP="001B285D">
            <w:pPr>
              <w:pStyle w:val="ListParagraph"/>
              <w:numPr>
                <w:ilvl w:val="0"/>
                <w:numId w:val="15"/>
              </w:numPr>
              <w:spacing w:line="276" w:lineRule="auto"/>
              <w:ind w:left="34" w:hanging="34"/>
              <w:contextualSpacing w:val="0"/>
            </w:pPr>
            <w:r w:rsidRPr="004B5DAA">
              <w:t xml:space="preserve">A </w:t>
            </w:r>
            <w:r>
              <w:t>two</w:t>
            </w:r>
            <w:r w:rsidRPr="004B5DAA">
              <w:t>-fold or greater increase in the serum level of antibody to a PcP serotype is ‘normal’</w:t>
            </w:r>
            <w:r>
              <w:t>,</w:t>
            </w:r>
            <w:r w:rsidRPr="004B5DAA">
              <w:t xml:space="preserve"> providing the post</w:t>
            </w:r>
            <w:r>
              <w:t>-</w:t>
            </w:r>
            <w:r w:rsidRPr="004B5DAA">
              <w:t>vaccination antibody level is &gt;1.3</w:t>
            </w:r>
            <w:r>
              <w:t> </w:t>
            </w:r>
            <w:r w:rsidRPr="004B5DAA">
              <w:t>mg/L.</w:t>
            </w:r>
          </w:p>
          <w:p w14:paraId="0F6BAB17" w14:textId="77777777" w:rsidR="007D5F16" w:rsidRPr="004B5DAA" w:rsidRDefault="007D5F16" w:rsidP="001B285D">
            <w:pPr>
              <w:pStyle w:val="ListParagraph"/>
              <w:keepNext/>
              <w:keepLines/>
              <w:numPr>
                <w:ilvl w:val="0"/>
                <w:numId w:val="15"/>
              </w:numPr>
              <w:spacing w:before="200" w:after="120" w:line="276" w:lineRule="auto"/>
              <w:ind w:left="34" w:hanging="34"/>
              <w:contextualSpacing w:val="0"/>
              <w:outlineLvl w:val="8"/>
              <w:rPr>
                <w:rFonts w:cs="Times New Roman"/>
                <w:color w:val="000000"/>
                <w:lang w:eastAsia="en-AU"/>
              </w:rPr>
            </w:pPr>
            <w:r w:rsidRPr="004B5DAA">
              <w:t>There should be an antibody response (defined above) to at least 50% of PcP serotypes assessed.</w:t>
            </w:r>
          </w:p>
          <w:p w14:paraId="308F5671" w14:textId="77E5EC01" w:rsidR="007D5F16" w:rsidRPr="004B5DAA" w:rsidRDefault="007D5F16" w:rsidP="001B285D">
            <w:pPr>
              <w:pStyle w:val="ListParagraph"/>
              <w:spacing w:after="120" w:line="276" w:lineRule="auto"/>
              <w:ind w:left="34" w:hanging="34"/>
              <w:contextualSpacing w:val="0"/>
              <w:rPr>
                <w:rFonts w:cs="Times New Roman"/>
                <w:color w:val="000000"/>
                <w:highlight w:val="yellow"/>
                <w:lang w:eastAsia="en-AU"/>
              </w:rPr>
            </w:pPr>
            <w:r w:rsidRPr="004B5DAA">
              <w:t>Rarely, patients with an increased susceptibility to respiratory tract infections exhibit impaired antibody responses to protein antigens, such as tetanus toxoid. A definition of an abnormal antibody response is not clearly established</w:t>
            </w:r>
            <w:r>
              <w:t>,</w:t>
            </w:r>
            <w:r w:rsidRPr="004B5DAA">
              <w:t xml:space="preserve"> but failure to produce a ‘protective’ serum level of IgG antibodies against tetanus toxoid following at least two vaccinations should be considered abnormal. Assessment of IgG antibody responses following </w:t>
            </w:r>
            <w:r w:rsidRPr="004B5DAA">
              <w:lastRenderedPageBreak/>
              <w:t xml:space="preserve">vaccination with </w:t>
            </w:r>
            <w:r w:rsidRPr="004B5DAA">
              <w:rPr>
                <w:i/>
              </w:rPr>
              <w:t>Haemophilus influenzae</w:t>
            </w:r>
            <w:r w:rsidRPr="004B5DAA">
              <w:t xml:space="preserve"> type B (Hib) may also be undertaken.</w:t>
            </w:r>
          </w:p>
          <w:p w14:paraId="05F3F2AA" w14:textId="590988D3" w:rsidR="007D5F16" w:rsidRPr="004B5DAA" w:rsidRDefault="007D5F16" w:rsidP="001B285D">
            <w:pPr>
              <w:spacing w:after="120" w:line="276" w:lineRule="auto"/>
              <w:ind w:left="34" w:hanging="34"/>
              <w:rPr>
                <w:rFonts w:cs="Times New Roman"/>
                <w:color w:val="000000"/>
                <w:lang w:eastAsia="en-AU"/>
              </w:rPr>
            </w:pPr>
            <w:r w:rsidRPr="004B5DAA">
              <w:rPr>
                <w:rFonts w:cs="Times New Roman"/>
                <w:color w:val="000000"/>
                <w:lang w:eastAsia="en-AU"/>
              </w:rPr>
              <w:t>Immunoglobulin therapy should be provided when there is evidence of abnormally recurrent or persistent bacterial infections, or bronchiectasis and/or suppurative lung disease consistent with the</w:t>
            </w:r>
            <w:r w:rsidRPr="004B5DAA">
              <w:rPr>
                <w:rFonts w:cs="Times New Roman"/>
                <w:bCs/>
                <w:color w:val="808080"/>
                <w:lang w:eastAsia="en-AU"/>
              </w:rPr>
              <w:t xml:space="preserve"> </w:t>
            </w:r>
            <w:r w:rsidRPr="004B5DAA">
              <w:rPr>
                <w:rFonts w:asciiTheme="minorHAnsi" w:hAnsiTheme="minorHAnsi"/>
              </w:rPr>
              <w:t>position statement of the Thoracic Society of Australia and New Zealand and the Australian Lung Foundation (Chang et al 2010</w:t>
            </w:r>
            <w:r w:rsidRPr="004B5DAA">
              <w:rPr>
                <w:rFonts w:asciiTheme="minorHAnsi" w:eastAsia="Calibri" w:hAnsiTheme="minorHAnsi" w:cs="HelveticaCondensed"/>
                <w:lang w:eastAsia="en-AU"/>
              </w:rPr>
              <w:t>)</w:t>
            </w:r>
            <w:r w:rsidRPr="004B5DAA">
              <w:rPr>
                <w:rFonts w:cs="Times New Roman"/>
                <w:color w:val="000000"/>
                <w:lang w:eastAsia="en-AU"/>
              </w:rPr>
              <w:t>, with a documented requirement for antibiotic therapy, associated with a low IgG antibody response following vaccination with pneumococcal polysaccharides (see above) or tetanus toxoid.</w:t>
            </w:r>
          </w:p>
          <w:p w14:paraId="7AB10D6A" w14:textId="77777777" w:rsidR="007D5F16" w:rsidRPr="004B5DAA" w:rsidRDefault="007D5F16" w:rsidP="001B285D">
            <w:pPr>
              <w:spacing w:line="276" w:lineRule="auto"/>
              <w:ind w:left="34" w:hanging="34"/>
            </w:pPr>
            <w:r w:rsidRPr="004B5DAA">
              <w:rPr>
                <w:rFonts w:cs="Times New Roman"/>
                <w:color w:val="000000"/>
                <w:lang w:eastAsia="en-AU"/>
              </w:rPr>
              <w:t>Further research investigating clinical and laboratory features of this group of disorders is required.</w:t>
            </w:r>
          </w:p>
          <w:p w14:paraId="755C9B68" w14:textId="77777777" w:rsidR="007D5F16" w:rsidRPr="00CE1966" w:rsidRDefault="007D5F16" w:rsidP="00696339">
            <w:pPr>
              <w:rPr>
                <w:rFonts w:asciiTheme="minorHAnsi" w:hAnsiTheme="minorHAnsi"/>
              </w:rPr>
            </w:pPr>
          </w:p>
        </w:tc>
        <w:tc>
          <w:tcPr>
            <w:tcW w:w="3981" w:type="dxa"/>
            <w:gridSpan w:val="2"/>
          </w:tcPr>
          <w:p w14:paraId="7CC2E761" w14:textId="77777777" w:rsidR="007D5F16" w:rsidRPr="00CE1966" w:rsidRDefault="007D5F16" w:rsidP="006771CE">
            <w:pPr>
              <w:keepNext/>
              <w:keepLines/>
              <w:spacing w:before="200" w:after="240" w:line="20" w:lineRule="atLeast"/>
              <w:outlineLvl w:val="5"/>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lastRenderedPageBreak/>
              <w:t>This section has been revised and updated with supporting references. (A)</w:t>
            </w:r>
          </w:p>
        </w:tc>
      </w:tr>
      <w:tr w:rsidR="007D5F16" w:rsidRPr="00CE1966" w14:paraId="3A378579" w14:textId="77777777" w:rsidTr="00D97E23">
        <w:tc>
          <w:tcPr>
            <w:tcW w:w="1687" w:type="dxa"/>
            <w:gridSpan w:val="3"/>
            <w:shd w:val="clear" w:color="auto" w:fill="D9D9D9" w:themeFill="background1" w:themeFillShade="D9"/>
          </w:tcPr>
          <w:p w14:paraId="33F086F5" w14:textId="77777777" w:rsidR="007D5F16" w:rsidRPr="00CE1966" w:rsidRDefault="007D5F16" w:rsidP="00D764F3">
            <w:pPr>
              <w:rPr>
                <w:rFonts w:asciiTheme="minorHAnsi" w:hAnsiTheme="minorHAnsi"/>
                <w:b/>
              </w:rPr>
            </w:pPr>
            <w:r w:rsidRPr="00CE1966">
              <w:rPr>
                <w:rFonts w:asciiTheme="minorHAnsi" w:hAnsiTheme="minorHAnsi"/>
                <w:b/>
              </w:rPr>
              <w:lastRenderedPageBreak/>
              <w:t>Diagnosis is required</w:t>
            </w:r>
          </w:p>
        </w:tc>
        <w:tc>
          <w:tcPr>
            <w:tcW w:w="4408" w:type="dxa"/>
          </w:tcPr>
          <w:p w14:paraId="2D7623F2" w14:textId="77777777" w:rsidR="007D5F16" w:rsidRPr="00CE1966" w:rsidRDefault="007D5F16" w:rsidP="004B5DAA">
            <w:pPr>
              <w:spacing w:before="100" w:beforeAutospacing="1" w:after="150" w:line="360" w:lineRule="atLeast"/>
              <w:rPr>
                <w:rFonts w:asciiTheme="minorHAnsi" w:eastAsia="Times New Roman" w:hAnsiTheme="minorHAnsi" w:cs="Times New Roman"/>
                <w:color w:val="000000"/>
                <w:lang w:eastAsia="en-AU"/>
              </w:rPr>
            </w:pPr>
            <w:r w:rsidRPr="00CE1966">
              <w:rPr>
                <w:rFonts w:asciiTheme="minorHAnsi" w:eastAsia="Times New Roman" w:hAnsiTheme="minorHAnsi" w:cs="Times New Roman"/>
                <w:color w:val="000000"/>
                <w:lang w:eastAsia="en-AU"/>
              </w:rPr>
              <w:t>A clinical immunologist must be consulted to confirm the diagnosis;</w:t>
            </w:r>
          </w:p>
          <w:p w14:paraId="284DC492" w14:textId="77777777" w:rsidR="007D5F16" w:rsidRPr="00CE1966" w:rsidRDefault="007D5F16" w:rsidP="00D764F3">
            <w:pPr>
              <w:rPr>
                <w:rFonts w:asciiTheme="minorHAnsi" w:hAnsiTheme="minorHAnsi"/>
              </w:rPr>
            </w:pPr>
          </w:p>
        </w:tc>
        <w:tc>
          <w:tcPr>
            <w:tcW w:w="1145" w:type="dxa"/>
          </w:tcPr>
          <w:p w14:paraId="4A7ADDB8" w14:textId="77777777" w:rsidR="007D5F16" w:rsidRPr="00CE1966" w:rsidRDefault="007D5F16" w:rsidP="00D764F3">
            <w:pPr>
              <w:rPr>
                <w:rFonts w:asciiTheme="minorHAnsi" w:hAnsiTheme="minorHAnsi"/>
              </w:rPr>
            </w:pPr>
            <w:r w:rsidRPr="00CE1966">
              <w:rPr>
                <w:rFonts w:asciiTheme="minorHAnsi" w:hAnsiTheme="minorHAnsi"/>
              </w:rPr>
              <w:t>Yes</w:t>
            </w:r>
          </w:p>
        </w:tc>
        <w:tc>
          <w:tcPr>
            <w:tcW w:w="1134" w:type="dxa"/>
            <w:shd w:val="clear" w:color="auto" w:fill="BFBFBF" w:themeFill="background1" w:themeFillShade="BF"/>
          </w:tcPr>
          <w:p w14:paraId="6698BD06" w14:textId="77777777" w:rsidR="007D5F16" w:rsidRPr="00CE1966" w:rsidRDefault="007D5F16" w:rsidP="00124E85">
            <w:pPr>
              <w:spacing w:line="276" w:lineRule="auto"/>
              <w:ind w:left="-108" w:firstLine="108"/>
              <w:rPr>
                <w:rFonts w:asciiTheme="minorHAnsi" w:hAnsiTheme="minorHAnsi"/>
              </w:rPr>
            </w:pPr>
            <w:r w:rsidRPr="00CE1966">
              <w:rPr>
                <w:rFonts w:asciiTheme="minorHAnsi" w:hAnsiTheme="minorHAnsi"/>
              </w:rPr>
              <w:t>Which Speciality</w:t>
            </w:r>
          </w:p>
        </w:tc>
        <w:tc>
          <w:tcPr>
            <w:tcW w:w="2540" w:type="dxa"/>
          </w:tcPr>
          <w:p w14:paraId="0C987F93" w14:textId="743550A6" w:rsidR="007D5F16" w:rsidRPr="00CE1966" w:rsidRDefault="007D5F16" w:rsidP="009A04BB">
            <w:pPr>
              <w:spacing w:line="276" w:lineRule="auto"/>
              <w:rPr>
                <w:rFonts w:asciiTheme="minorHAnsi" w:hAnsiTheme="minorHAnsi"/>
              </w:rPr>
            </w:pPr>
            <w:r>
              <w:rPr>
                <w:rFonts w:asciiTheme="minorHAnsi" w:hAnsiTheme="minorHAnsi"/>
              </w:rPr>
              <w:t xml:space="preserve">Clinical immunologist </w:t>
            </w:r>
          </w:p>
        </w:tc>
        <w:tc>
          <w:tcPr>
            <w:tcW w:w="3981" w:type="dxa"/>
            <w:gridSpan w:val="2"/>
          </w:tcPr>
          <w:p w14:paraId="5162EF8F" w14:textId="42A66C25" w:rsidR="007D5F16" w:rsidRPr="00CE1966" w:rsidRDefault="007D5F16" w:rsidP="002A557D">
            <w:pPr>
              <w:spacing w:line="276" w:lineRule="auto"/>
              <w:rPr>
                <w:rFonts w:asciiTheme="minorHAnsi" w:hAnsiTheme="minorHAnsi"/>
              </w:rPr>
            </w:pPr>
            <w:r>
              <w:rPr>
                <w:rFonts w:asciiTheme="minorHAnsi" w:hAnsiTheme="minorHAnsi"/>
              </w:rPr>
              <w:t>For SAD, respiratory physicians or clinical immunologists may be the treating specialist, but Clinical immunologist must make the diagnosis. (A)</w:t>
            </w:r>
          </w:p>
        </w:tc>
      </w:tr>
      <w:tr w:rsidR="007D5F16" w:rsidRPr="00CE1966" w14:paraId="2F50883C" w14:textId="77777777" w:rsidTr="00D97E23">
        <w:tc>
          <w:tcPr>
            <w:tcW w:w="1687" w:type="dxa"/>
            <w:gridSpan w:val="3"/>
            <w:shd w:val="clear" w:color="auto" w:fill="D9D9D9" w:themeFill="background1" w:themeFillShade="D9"/>
          </w:tcPr>
          <w:p w14:paraId="7F084839" w14:textId="77777777" w:rsidR="007D5F16" w:rsidRPr="00CE1966" w:rsidRDefault="007D5F16" w:rsidP="00F873C6">
            <w:pPr>
              <w:rPr>
                <w:rFonts w:asciiTheme="minorHAnsi" w:hAnsiTheme="minorHAnsi"/>
                <w:b/>
              </w:rPr>
            </w:pPr>
            <w:r w:rsidRPr="00CE1966">
              <w:rPr>
                <w:rFonts w:asciiTheme="minorHAnsi" w:hAnsiTheme="minorHAnsi"/>
                <w:b/>
              </w:rPr>
              <w:t>Diagnosis must be verified</w:t>
            </w:r>
          </w:p>
        </w:tc>
        <w:tc>
          <w:tcPr>
            <w:tcW w:w="4408" w:type="dxa"/>
          </w:tcPr>
          <w:p w14:paraId="7BC7A7AB" w14:textId="77777777" w:rsidR="007D5F16" w:rsidRPr="00CE1966" w:rsidRDefault="007D5F16" w:rsidP="00F873C6">
            <w:pPr>
              <w:rPr>
                <w:rFonts w:asciiTheme="minorHAnsi" w:hAnsiTheme="minorHAnsi"/>
              </w:rPr>
            </w:pPr>
          </w:p>
        </w:tc>
        <w:tc>
          <w:tcPr>
            <w:tcW w:w="1145" w:type="dxa"/>
          </w:tcPr>
          <w:p w14:paraId="357839CB" w14:textId="47FD6B88" w:rsidR="007D5F16" w:rsidRPr="00CE1966" w:rsidRDefault="007D5F16" w:rsidP="00F873C6">
            <w:pPr>
              <w:rPr>
                <w:rFonts w:asciiTheme="minorHAnsi" w:hAnsiTheme="minorHAnsi"/>
              </w:rPr>
            </w:pPr>
            <w:r>
              <w:rPr>
                <w:rFonts w:asciiTheme="minorHAnsi" w:hAnsiTheme="minorHAnsi"/>
              </w:rPr>
              <w:t>Yes</w:t>
            </w:r>
          </w:p>
        </w:tc>
        <w:tc>
          <w:tcPr>
            <w:tcW w:w="1134" w:type="dxa"/>
            <w:shd w:val="clear" w:color="auto" w:fill="BFBFBF" w:themeFill="background1" w:themeFillShade="BF"/>
          </w:tcPr>
          <w:p w14:paraId="604DDF29" w14:textId="77777777" w:rsidR="007D5F16" w:rsidRPr="00CE1966" w:rsidRDefault="007D5F16" w:rsidP="00F873C6">
            <w:pPr>
              <w:spacing w:line="276" w:lineRule="auto"/>
              <w:rPr>
                <w:rFonts w:asciiTheme="minorHAnsi" w:hAnsiTheme="minorHAnsi"/>
                <w:b/>
              </w:rPr>
            </w:pPr>
            <w:r w:rsidRPr="00CE1966">
              <w:rPr>
                <w:rFonts w:asciiTheme="minorHAnsi" w:hAnsiTheme="minorHAnsi"/>
              </w:rPr>
              <w:t>Which Specialty</w:t>
            </w:r>
          </w:p>
        </w:tc>
        <w:tc>
          <w:tcPr>
            <w:tcW w:w="2540" w:type="dxa"/>
          </w:tcPr>
          <w:p w14:paraId="26770D80" w14:textId="783449E0" w:rsidR="007D5F16" w:rsidRPr="00CE1966" w:rsidRDefault="007D5F16" w:rsidP="00B96A6F">
            <w:pPr>
              <w:spacing w:line="276" w:lineRule="auto"/>
              <w:rPr>
                <w:rFonts w:asciiTheme="minorHAnsi" w:hAnsiTheme="minorHAnsi"/>
              </w:rPr>
            </w:pPr>
            <w:r>
              <w:rPr>
                <w:rFonts w:asciiTheme="minorHAnsi" w:hAnsiTheme="minorHAnsi"/>
              </w:rPr>
              <w:t xml:space="preserve">Clinical immunologist if a clinical immunologist did not make the diagnosis </w:t>
            </w:r>
          </w:p>
        </w:tc>
        <w:tc>
          <w:tcPr>
            <w:tcW w:w="3981" w:type="dxa"/>
            <w:gridSpan w:val="2"/>
          </w:tcPr>
          <w:p w14:paraId="404DA6AA" w14:textId="097E65EE" w:rsidR="007D5F16" w:rsidRPr="00CE1966" w:rsidRDefault="007D5F16" w:rsidP="002A557D">
            <w:pPr>
              <w:spacing w:line="276" w:lineRule="auto"/>
              <w:rPr>
                <w:rFonts w:asciiTheme="minorHAnsi" w:hAnsiTheme="minorHAnsi"/>
              </w:rPr>
            </w:pPr>
            <w:r>
              <w:rPr>
                <w:rFonts w:asciiTheme="minorHAnsi" w:hAnsiTheme="minorHAnsi"/>
              </w:rPr>
              <w:t>For existing IgG Subclass patients, confirmation of the diagnosis is required by a second immunologist. (A)</w:t>
            </w:r>
          </w:p>
        </w:tc>
      </w:tr>
      <w:tr w:rsidR="007D5F16" w:rsidRPr="00CE1966" w14:paraId="437D5BF5" w14:textId="77777777" w:rsidTr="00D97E23">
        <w:tc>
          <w:tcPr>
            <w:tcW w:w="1687" w:type="dxa"/>
            <w:gridSpan w:val="3"/>
            <w:shd w:val="clear" w:color="auto" w:fill="D9D9D9" w:themeFill="background1" w:themeFillShade="D9"/>
          </w:tcPr>
          <w:p w14:paraId="3F8735BF" w14:textId="77777777" w:rsidR="007D5F16" w:rsidRPr="00CE1966" w:rsidRDefault="007D5F16" w:rsidP="00D764F3">
            <w:pPr>
              <w:rPr>
                <w:rFonts w:asciiTheme="minorHAnsi" w:hAnsiTheme="minorHAnsi"/>
                <w:b/>
              </w:rPr>
            </w:pPr>
            <w:r w:rsidRPr="00CE1966">
              <w:rPr>
                <w:rFonts w:asciiTheme="minorHAnsi" w:hAnsiTheme="minorHAnsi"/>
                <w:b/>
              </w:rPr>
              <w:t>Exclusion Criteria</w:t>
            </w:r>
          </w:p>
          <w:p w14:paraId="4125B2F5" w14:textId="32C3841A" w:rsidR="007D5F16" w:rsidRPr="00CE1966" w:rsidRDefault="000A1147" w:rsidP="00D764F3">
            <w:pPr>
              <w:rPr>
                <w:rFonts w:asciiTheme="minorHAnsi" w:hAnsiTheme="minorHAnsi"/>
              </w:rPr>
            </w:pPr>
            <w:r>
              <w:rPr>
                <w:rFonts w:asciiTheme="minorHAnsi" w:hAnsiTheme="minorHAnsi"/>
              </w:rPr>
              <w:t xml:space="preserve"> </w:t>
            </w:r>
          </w:p>
        </w:tc>
        <w:tc>
          <w:tcPr>
            <w:tcW w:w="4408" w:type="dxa"/>
          </w:tcPr>
          <w:p w14:paraId="5E4F4149" w14:textId="77777777" w:rsidR="007D5F16" w:rsidRPr="00CE1966" w:rsidRDefault="007D5F16" w:rsidP="00860EBE">
            <w:pPr>
              <w:numPr>
                <w:ilvl w:val="0"/>
                <w:numId w:val="5"/>
              </w:numPr>
              <w:spacing w:before="100" w:beforeAutospacing="1" w:after="150" w:line="360" w:lineRule="atLeast"/>
              <w:rPr>
                <w:rFonts w:asciiTheme="minorHAnsi" w:eastAsia="Times New Roman" w:hAnsiTheme="minorHAnsi" w:cs="Times New Roman"/>
                <w:color w:val="000000"/>
                <w:lang w:eastAsia="en-AU"/>
              </w:rPr>
            </w:pPr>
            <w:r w:rsidRPr="00CE1966">
              <w:rPr>
                <w:rFonts w:asciiTheme="minorHAnsi" w:eastAsia="Times New Roman" w:hAnsiTheme="minorHAnsi" w:cs="Times New Roman"/>
                <w:color w:val="000000"/>
                <w:lang w:eastAsia="en-AU"/>
              </w:rPr>
              <w:t xml:space="preserve">Isolated IgG subclass deficiency in the absence of evidence of specific antibody deficiency. </w:t>
            </w:r>
          </w:p>
          <w:p w14:paraId="21887705" w14:textId="77777777" w:rsidR="007D5F16" w:rsidRPr="00CE1966" w:rsidRDefault="007D5F16" w:rsidP="00860EBE">
            <w:pPr>
              <w:numPr>
                <w:ilvl w:val="0"/>
                <w:numId w:val="5"/>
              </w:numPr>
              <w:spacing w:before="100" w:beforeAutospacing="1" w:after="150" w:line="360" w:lineRule="atLeast"/>
              <w:rPr>
                <w:rFonts w:asciiTheme="minorHAnsi" w:eastAsia="Times New Roman" w:hAnsiTheme="minorHAnsi" w:cs="Times New Roman"/>
                <w:color w:val="000000"/>
                <w:lang w:eastAsia="en-AU"/>
              </w:rPr>
            </w:pPr>
            <w:r w:rsidRPr="00CE1966">
              <w:rPr>
                <w:rFonts w:asciiTheme="minorHAnsi" w:eastAsia="Times New Roman" w:hAnsiTheme="minorHAnsi" w:cs="Times New Roman"/>
                <w:color w:val="000000"/>
                <w:lang w:eastAsia="en-AU"/>
              </w:rPr>
              <w:lastRenderedPageBreak/>
              <w:t>Low total IgG. This should be considered under primary or secondary immunodeficiency.</w:t>
            </w:r>
          </w:p>
          <w:p w14:paraId="0B4ACB11" w14:textId="77777777" w:rsidR="007D5F16" w:rsidRPr="00CE1966" w:rsidRDefault="007D5F16" w:rsidP="00D764F3">
            <w:pPr>
              <w:rPr>
                <w:rFonts w:asciiTheme="minorHAnsi" w:hAnsiTheme="minorHAnsi"/>
              </w:rPr>
            </w:pPr>
          </w:p>
        </w:tc>
        <w:tc>
          <w:tcPr>
            <w:tcW w:w="4819" w:type="dxa"/>
            <w:gridSpan w:val="3"/>
          </w:tcPr>
          <w:p w14:paraId="4F5D1342" w14:textId="09032066" w:rsidR="007D5F16" w:rsidRDefault="007D5F16" w:rsidP="00323620">
            <w:pPr>
              <w:spacing w:before="100" w:beforeAutospacing="1" w:after="150" w:line="360" w:lineRule="atLeast"/>
              <w:rPr>
                <w:rFonts w:asciiTheme="minorHAnsi" w:eastAsia="Times New Roman" w:hAnsiTheme="minorHAnsi" w:cs="Times New Roman"/>
                <w:color w:val="000000"/>
                <w:lang w:eastAsia="en-AU"/>
              </w:rPr>
            </w:pPr>
            <w:r w:rsidRPr="00CE1966">
              <w:rPr>
                <w:rFonts w:asciiTheme="minorHAnsi" w:eastAsia="Times New Roman" w:hAnsiTheme="minorHAnsi" w:cs="Times New Roman"/>
                <w:color w:val="000000"/>
                <w:lang w:eastAsia="en-AU"/>
              </w:rPr>
              <w:lastRenderedPageBreak/>
              <w:t>Isolated IgG subclass deficiency in the absence of evidence of specific antibody deficiency.</w:t>
            </w:r>
          </w:p>
          <w:p w14:paraId="051688EE" w14:textId="028D3198" w:rsidR="007D5F16" w:rsidRPr="00CE1966" w:rsidRDefault="007D5F16" w:rsidP="00323620">
            <w:pPr>
              <w:rPr>
                <w:rFonts w:asciiTheme="minorHAnsi" w:hAnsiTheme="minorHAnsi"/>
              </w:rPr>
            </w:pPr>
            <w:r w:rsidRPr="00CE1966">
              <w:rPr>
                <w:rFonts w:asciiTheme="minorHAnsi" w:eastAsia="Times New Roman" w:hAnsiTheme="minorHAnsi" w:cs="Times New Roman"/>
                <w:color w:val="000000"/>
                <w:lang w:eastAsia="en-AU"/>
              </w:rPr>
              <w:t xml:space="preserve">Low </w:t>
            </w:r>
            <w:r>
              <w:rPr>
                <w:rFonts w:asciiTheme="minorHAnsi" w:eastAsia="Times New Roman" w:hAnsiTheme="minorHAnsi" w:cs="Times New Roman"/>
                <w:color w:val="000000"/>
                <w:lang w:eastAsia="en-AU"/>
              </w:rPr>
              <w:t xml:space="preserve">serum </w:t>
            </w:r>
            <w:r w:rsidRPr="00CE1966">
              <w:rPr>
                <w:rFonts w:asciiTheme="minorHAnsi" w:eastAsia="Times New Roman" w:hAnsiTheme="minorHAnsi" w:cs="Times New Roman"/>
                <w:color w:val="000000"/>
                <w:lang w:eastAsia="en-AU"/>
              </w:rPr>
              <w:t xml:space="preserve">total IgG. This should be considered under primary or secondary </w:t>
            </w:r>
            <w:r w:rsidRPr="00CD23FF">
              <w:rPr>
                <w:rFonts w:asciiTheme="minorHAnsi" w:eastAsia="Times New Roman" w:hAnsiTheme="minorHAnsi" w:cs="Times New Roman"/>
                <w:color w:val="000000"/>
                <w:lang w:eastAsia="en-AU"/>
              </w:rPr>
              <w:t>immunodeficiency</w:t>
            </w:r>
            <w:r>
              <w:rPr>
                <w:rFonts w:asciiTheme="minorHAnsi" w:eastAsia="Times New Roman" w:hAnsiTheme="minorHAnsi" w:cs="Times New Roman"/>
                <w:color w:val="000000"/>
                <w:lang w:eastAsia="en-AU"/>
              </w:rPr>
              <w:t>.</w:t>
            </w:r>
          </w:p>
        </w:tc>
        <w:tc>
          <w:tcPr>
            <w:tcW w:w="3981" w:type="dxa"/>
            <w:gridSpan w:val="2"/>
          </w:tcPr>
          <w:p w14:paraId="4C8FD49F" w14:textId="7CFEE0A3" w:rsidR="007D5F16" w:rsidRPr="00CE1966" w:rsidRDefault="007D5F16" w:rsidP="001E6F4E">
            <w:pPr>
              <w:ind w:right="-1100"/>
              <w:rPr>
                <w:rFonts w:asciiTheme="minorHAnsi" w:hAnsiTheme="minorHAnsi"/>
              </w:rPr>
            </w:pPr>
            <w:r>
              <w:rPr>
                <w:rFonts w:asciiTheme="minorHAnsi" w:hAnsiTheme="minorHAnsi"/>
              </w:rPr>
              <w:t>Unchanged</w:t>
            </w:r>
          </w:p>
        </w:tc>
      </w:tr>
      <w:tr w:rsidR="007D5F16" w:rsidRPr="00CE1966" w14:paraId="4935ACC9" w14:textId="77777777" w:rsidTr="00D97E23">
        <w:tc>
          <w:tcPr>
            <w:tcW w:w="1687" w:type="dxa"/>
            <w:gridSpan w:val="3"/>
            <w:shd w:val="clear" w:color="auto" w:fill="D9D9D9" w:themeFill="background1" w:themeFillShade="D9"/>
          </w:tcPr>
          <w:p w14:paraId="3B3DADDB" w14:textId="77777777" w:rsidR="007D5F16" w:rsidRPr="00CE1966" w:rsidRDefault="007D5F16" w:rsidP="00D764F3">
            <w:pPr>
              <w:rPr>
                <w:rFonts w:asciiTheme="minorHAnsi" w:hAnsiTheme="minorHAnsi"/>
                <w:b/>
              </w:rPr>
            </w:pPr>
            <w:r w:rsidRPr="00CE1966">
              <w:rPr>
                <w:rFonts w:asciiTheme="minorHAnsi" w:hAnsiTheme="minorHAnsi"/>
                <w:b/>
              </w:rPr>
              <w:lastRenderedPageBreak/>
              <w:t>Indications</w:t>
            </w:r>
          </w:p>
        </w:tc>
        <w:tc>
          <w:tcPr>
            <w:tcW w:w="4408" w:type="dxa"/>
          </w:tcPr>
          <w:p w14:paraId="48437AF5" w14:textId="77777777" w:rsidR="007D5F16" w:rsidRPr="00CE1966" w:rsidRDefault="007D5F16" w:rsidP="00C72AF3">
            <w:pPr>
              <w:spacing w:line="276" w:lineRule="auto"/>
              <w:rPr>
                <w:rFonts w:asciiTheme="minorHAnsi" w:hAnsiTheme="minorHAnsi"/>
              </w:rPr>
            </w:pPr>
            <w:r w:rsidRPr="00CE1966">
              <w:rPr>
                <w:rFonts w:asciiTheme="minorHAnsi" w:hAnsiTheme="minorHAnsi"/>
                <w:color w:val="000000"/>
              </w:rPr>
              <w:t>Prevention of infections in individuals with frequent infections who have demonstrated failure to mount protective IgG antibody responses to vaccine antigen challenge despite normal total serum IgG levels.</w:t>
            </w:r>
          </w:p>
        </w:tc>
        <w:tc>
          <w:tcPr>
            <w:tcW w:w="4819" w:type="dxa"/>
            <w:gridSpan w:val="3"/>
          </w:tcPr>
          <w:p w14:paraId="5FD0DF05" w14:textId="77777777" w:rsidR="007D5F16" w:rsidRPr="00323620" w:rsidRDefault="007D5F16" w:rsidP="00323620">
            <w:pPr>
              <w:spacing w:before="100" w:beforeAutospacing="1" w:after="120"/>
              <w:rPr>
                <w:b/>
              </w:rPr>
            </w:pPr>
            <w:r w:rsidRPr="00323620">
              <w:rPr>
                <w:b/>
              </w:rPr>
              <w:t>History of abnormally frequent and/or persistent bacterial infections associated with a demonstrated failure to mount a ‘normal’ IgG antibody response to pneumococcal polysaccharides or protein antigens, such as tetanus toxoid, after vaccine challenge in a patient with a normal serum total IgG concentration.</w:t>
            </w:r>
          </w:p>
          <w:p w14:paraId="6F87F754" w14:textId="5B667A7E" w:rsidR="007D5F16" w:rsidRDefault="007D5F16" w:rsidP="00323620">
            <w:pPr>
              <w:spacing w:before="100" w:beforeAutospacing="1" w:after="120"/>
              <w:rPr>
                <w:b/>
              </w:rPr>
            </w:pPr>
            <w:r w:rsidRPr="00323620">
              <w:rPr>
                <w:b/>
              </w:rPr>
              <w:t>Life</w:t>
            </w:r>
            <w:r>
              <w:rPr>
                <w:b/>
              </w:rPr>
              <w:t>-</w:t>
            </w:r>
            <w:r w:rsidRPr="00323620">
              <w:rPr>
                <w:b/>
              </w:rPr>
              <w:t>threatening infection or a series of serious infections following trial</w:t>
            </w:r>
            <w:r>
              <w:rPr>
                <w:b/>
              </w:rPr>
              <w:t>-</w:t>
            </w:r>
            <w:r w:rsidRPr="00323620">
              <w:rPr>
                <w:b/>
              </w:rPr>
              <w:t>off Ig therapy in patients with proven specific antibody deficiency</w:t>
            </w:r>
            <w:r>
              <w:rPr>
                <w:b/>
              </w:rPr>
              <w:t>.</w:t>
            </w:r>
          </w:p>
          <w:p w14:paraId="6B08B0BC" w14:textId="05762AD7" w:rsidR="007D5F16" w:rsidRPr="00323620" w:rsidRDefault="007D5F16" w:rsidP="00323620">
            <w:pPr>
              <w:spacing w:before="100" w:beforeAutospacing="1" w:after="120"/>
              <w:rPr>
                <w:b/>
              </w:rPr>
            </w:pPr>
          </w:p>
          <w:p w14:paraId="4771080B" w14:textId="2A636503" w:rsidR="007D5F16" w:rsidRPr="00CE1966" w:rsidRDefault="007D5F16" w:rsidP="00323620">
            <w:pPr>
              <w:rPr>
                <w:rFonts w:asciiTheme="minorHAnsi" w:hAnsiTheme="minorHAnsi"/>
                <w:b/>
              </w:rPr>
            </w:pPr>
            <w:r w:rsidRPr="00323620">
              <w:rPr>
                <w:b/>
              </w:rPr>
              <w:t>Patients currently receiving immunoglobulin therapy for a diagnosis of IgG subclass deficiency are eligible for continued therapy</w:t>
            </w:r>
            <w:r>
              <w:rPr>
                <w:b/>
              </w:rPr>
              <w:t>,</w:t>
            </w:r>
            <w:r w:rsidRPr="00323620">
              <w:rPr>
                <w:b/>
              </w:rPr>
              <w:t xml:space="preserve"> but a diagnosis of specific antibody deficiency should be confirmed following cessation of immunoglobulin therapy.</w:t>
            </w:r>
          </w:p>
        </w:tc>
        <w:tc>
          <w:tcPr>
            <w:tcW w:w="3981" w:type="dxa"/>
            <w:gridSpan w:val="2"/>
          </w:tcPr>
          <w:p w14:paraId="28AAF4E5" w14:textId="77777777" w:rsidR="00CC466E" w:rsidRDefault="007D5F16" w:rsidP="004F320E">
            <w:pPr>
              <w:rPr>
                <w:rFonts w:asciiTheme="minorHAnsi" w:hAnsiTheme="minorHAnsi"/>
              </w:rPr>
            </w:pPr>
            <w:r>
              <w:rPr>
                <w:rFonts w:asciiTheme="minorHAnsi" w:hAnsiTheme="minorHAnsi"/>
              </w:rPr>
              <w:t xml:space="preserve">Three indications are recommended. The second indication is required for re-entry of confirmed SAD </w:t>
            </w:r>
            <w:r w:rsidR="00C72AF3">
              <w:rPr>
                <w:rFonts w:asciiTheme="minorHAnsi" w:hAnsiTheme="minorHAnsi"/>
              </w:rPr>
              <w:t>patients that have a life threa</w:t>
            </w:r>
            <w:r>
              <w:rPr>
                <w:rFonts w:asciiTheme="minorHAnsi" w:hAnsiTheme="minorHAnsi"/>
              </w:rPr>
              <w:t xml:space="preserve">tening infection while on trial off therapy. </w:t>
            </w:r>
            <w:r w:rsidR="00CC466E">
              <w:rPr>
                <w:rFonts w:asciiTheme="minorHAnsi" w:hAnsiTheme="minorHAnsi"/>
              </w:rPr>
              <w:t xml:space="preserve"> A re-entry path is needed as revaccination is contraindicated. </w:t>
            </w:r>
          </w:p>
          <w:p w14:paraId="7B402EB0" w14:textId="05D07BC6" w:rsidR="007D5F16" w:rsidRDefault="007D5F16" w:rsidP="004F320E">
            <w:pPr>
              <w:rPr>
                <w:rFonts w:asciiTheme="minorHAnsi" w:hAnsiTheme="minorHAnsi"/>
              </w:rPr>
            </w:pPr>
            <w:r>
              <w:rPr>
                <w:rFonts w:asciiTheme="minorHAnsi" w:hAnsiTheme="minorHAnsi"/>
              </w:rPr>
              <w:t xml:space="preserve">The third indication is to cover existing IgG subclass patients to enable reassessment and requalification. (A) </w:t>
            </w:r>
          </w:p>
          <w:p w14:paraId="370B0561" w14:textId="77777777" w:rsidR="007D5F16" w:rsidRDefault="007D5F16" w:rsidP="004F320E">
            <w:pPr>
              <w:rPr>
                <w:rFonts w:asciiTheme="minorHAnsi" w:hAnsiTheme="minorHAnsi"/>
              </w:rPr>
            </w:pPr>
          </w:p>
          <w:p w14:paraId="564E6FA0" w14:textId="7B466961" w:rsidR="007D5F16" w:rsidRPr="00CE1966" w:rsidRDefault="007D5F16" w:rsidP="00CC466E">
            <w:pPr>
              <w:rPr>
                <w:rFonts w:asciiTheme="minorHAnsi" w:hAnsiTheme="minorHAnsi"/>
              </w:rPr>
            </w:pPr>
            <w:r w:rsidRPr="00AC15BE">
              <w:rPr>
                <w:rFonts w:asciiTheme="minorHAnsi" w:hAnsiTheme="minorHAnsi"/>
              </w:rPr>
              <w:t xml:space="preserve">Some states have reasonable numbers of IgG subclass patients that have </w:t>
            </w:r>
            <w:r w:rsidR="00CC466E">
              <w:rPr>
                <w:rFonts w:asciiTheme="minorHAnsi" w:hAnsiTheme="minorHAnsi"/>
              </w:rPr>
              <w:t>not been</w:t>
            </w:r>
            <w:r w:rsidRPr="00AC15BE">
              <w:rPr>
                <w:rFonts w:asciiTheme="minorHAnsi" w:hAnsiTheme="minorHAnsi"/>
              </w:rPr>
              <w:t xml:space="preserve"> re-evaluated under earlier changes to the Criteria - this will be required during transfer to the Ig system unless </w:t>
            </w:r>
            <w:r w:rsidR="00C72AF3">
              <w:rPr>
                <w:rFonts w:asciiTheme="minorHAnsi" w:hAnsiTheme="minorHAnsi"/>
              </w:rPr>
              <w:t>the</w:t>
            </w:r>
            <w:r w:rsidR="00CC466E">
              <w:rPr>
                <w:rFonts w:asciiTheme="minorHAnsi" w:hAnsiTheme="minorHAnsi"/>
              </w:rPr>
              <w:t>re is</w:t>
            </w:r>
            <w:r w:rsidR="00C72AF3">
              <w:rPr>
                <w:rFonts w:asciiTheme="minorHAnsi" w:hAnsiTheme="minorHAnsi"/>
              </w:rPr>
              <w:t xml:space="preserve"> </w:t>
            </w:r>
            <w:r w:rsidRPr="00AC15BE">
              <w:rPr>
                <w:rFonts w:asciiTheme="minorHAnsi" w:hAnsiTheme="minorHAnsi"/>
              </w:rPr>
              <w:t>presence of active suppurative lung disease</w:t>
            </w:r>
            <w:r w:rsidR="00CC466E">
              <w:rPr>
                <w:rFonts w:asciiTheme="minorHAnsi" w:hAnsiTheme="minorHAnsi"/>
              </w:rPr>
              <w:t xml:space="preserve"> (which is now required to comply with the position statement of the Thoracic Society of Australia and New Zealand (TSANZ)</w:t>
            </w:r>
            <w:r w:rsidRPr="00AC15BE">
              <w:rPr>
                <w:rFonts w:asciiTheme="minorHAnsi" w:hAnsiTheme="minorHAnsi"/>
              </w:rPr>
              <w:t xml:space="preserve">. </w:t>
            </w:r>
            <w:r>
              <w:rPr>
                <w:rFonts w:asciiTheme="minorHAnsi" w:hAnsiTheme="minorHAnsi"/>
              </w:rPr>
              <w:t>In 2013/</w:t>
            </w:r>
            <w:r w:rsidR="00653EBE">
              <w:rPr>
                <w:rFonts w:asciiTheme="minorHAnsi" w:hAnsiTheme="minorHAnsi"/>
              </w:rPr>
              <w:t>14,</w:t>
            </w:r>
            <w:r>
              <w:rPr>
                <w:rFonts w:asciiTheme="minorHAnsi" w:hAnsiTheme="minorHAnsi"/>
              </w:rPr>
              <w:t xml:space="preserve"> there were </w:t>
            </w:r>
            <w:r w:rsidRPr="00AC15BE">
              <w:rPr>
                <w:rFonts w:asciiTheme="minorHAnsi" w:hAnsiTheme="minorHAnsi" w:cs="Times New Roman"/>
              </w:rPr>
              <w:t>107</w:t>
            </w:r>
            <w:r w:rsidR="00C72AF3">
              <w:rPr>
                <w:rFonts w:asciiTheme="minorHAnsi" w:hAnsiTheme="minorHAnsi" w:cs="Times New Roman"/>
              </w:rPr>
              <w:t xml:space="preserve"> </w:t>
            </w:r>
            <w:r w:rsidRPr="00AC15BE">
              <w:rPr>
                <w:rFonts w:asciiTheme="minorHAnsi" w:hAnsiTheme="minorHAnsi" w:cs="Times New Roman"/>
              </w:rPr>
              <w:t>IgG subclass</w:t>
            </w:r>
            <w:r>
              <w:rPr>
                <w:rFonts w:asciiTheme="minorHAnsi" w:hAnsiTheme="minorHAnsi" w:cs="Times New Roman"/>
              </w:rPr>
              <w:t xml:space="preserve"> patients</w:t>
            </w:r>
            <w:r w:rsidRPr="00AC15BE">
              <w:rPr>
                <w:rFonts w:asciiTheme="minorHAnsi" w:hAnsiTheme="minorHAnsi" w:cs="Times New Roman"/>
              </w:rPr>
              <w:t xml:space="preserve"> of which </w:t>
            </w:r>
            <w:r>
              <w:rPr>
                <w:rFonts w:asciiTheme="minorHAnsi" w:hAnsiTheme="minorHAnsi" w:cs="Times New Roman"/>
              </w:rPr>
              <w:t>80 were e</w:t>
            </w:r>
            <w:r w:rsidRPr="00AC15BE">
              <w:rPr>
                <w:rFonts w:asciiTheme="minorHAnsi" w:hAnsiTheme="minorHAnsi" w:cs="Times New Roman"/>
              </w:rPr>
              <w:t>xisting IgG without</w:t>
            </w:r>
            <w:r>
              <w:rPr>
                <w:rFonts w:asciiTheme="minorHAnsi" w:hAnsiTheme="minorHAnsi" w:cs="Times New Roman"/>
              </w:rPr>
              <w:t xml:space="preserve"> lung disease</w:t>
            </w:r>
            <w:r w:rsidRPr="00AC15BE">
              <w:rPr>
                <w:rFonts w:asciiTheme="minorHAnsi" w:hAnsiTheme="minorHAnsi" w:cs="Times New Roman"/>
              </w:rPr>
              <w:t xml:space="preserve"> and</w:t>
            </w:r>
            <w:r>
              <w:rPr>
                <w:rFonts w:asciiTheme="minorHAnsi" w:hAnsiTheme="minorHAnsi" w:cs="Times New Roman"/>
              </w:rPr>
              <w:t xml:space="preserve"> 27 patients</w:t>
            </w:r>
            <w:r w:rsidRPr="00AC15BE">
              <w:rPr>
                <w:rFonts w:asciiTheme="minorHAnsi" w:hAnsiTheme="minorHAnsi" w:cs="Times New Roman"/>
              </w:rPr>
              <w:t xml:space="preserve"> </w:t>
            </w:r>
            <w:r>
              <w:rPr>
                <w:rFonts w:asciiTheme="minorHAnsi" w:hAnsiTheme="minorHAnsi" w:cs="Times New Roman"/>
              </w:rPr>
              <w:t>with s</w:t>
            </w:r>
            <w:r w:rsidRPr="00AC15BE">
              <w:rPr>
                <w:rFonts w:asciiTheme="minorHAnsi" w:hAnsiTheme="minorHAnsi" w:cs="Times New Roman"/>
              </w:rPr>
              <w:t>uppurative lung disease</w:t>
            </w:r>
            <w:r>
              <w:rPr>
                <w:rFonts w:asciiTheme="minorHAnsi" w:hAnsiTheme="minorHAnsi" w:cs="Times New Roman"/>
              </w:rPr>
              <w:t xml:space="preserve">. </w:t>
            </w:r>
            <w:r w:rsidR="00CC466E">
              <w:rPr>
                <w:rFonts w:asciiTheme="minorHAnsi" w:hAnsiTheme="minorHAnsi" w:cs="Times New Roman"/>
              </w:rPr>
              <w:t xml:space="preserve"> </w:t>
            </w:r>
            <w:r>
              <w:rPr>
                <w:rFonts w:asciiTheme="minorHAnsi" w:hAnsiTheme="minorHAnsi"/>
              </w:rPr>
              <w:t>All IgG subclass patients will be required to requalify for ongoing access to Ig therapy. (A)</w:t>
            </w:r>
          </w:p>
        </w:tc>
      </w:tr>
      <w:tr w:rsidR="007D5F16" w:rsidRPr="00CE1966" w14:paraId="7577FF53" w14:textId="77777777" w:rsidTr="00D97E23">
        <w:tc>
          <w:tcPr>
            <w:tcW w:w="1687" w:type="dxa"/>
            <w:gridSpan w:val="3"/>
            <w:shd w:val="clear" w:color="auto" w:fill="D9D9D9" w:themeFill="background1" w:themeFillShade="D9"/>
          </w:tcPr>
          <w:p w14:paraId="2B326C65" w14:textId="4181AD76" w:rsidR="007D5F16" w:rsidRPr="00CE1966" w:rsidRDefault="007D5F16" w:rsidP="00D764F3">
            <w:pPr>
              <w:rPr>
                <w:rFonts w:asciiTheme="minorHAnsi" w:hAnsiTheme="minorHAnsi"/>
                <w:b/>
              </w:rPr>
            </w:pPr>
            <w:r w:rsidRPr="00CE1966">
              <w:rPr>
                <w:rFonts w:asciiTheme="minorHAnsi" w:hAnsiTheme="minorHAnsi"/>
              </w:rPr>
              <w:br w:type="page"/>
            </w:r>
            <w:r w:rsidRPr="00CE1966">
              <w:rPr>
                <w:rFonts w:asciiTheme="minorHAnsi" w:hAnsiTheme="minorHAnsi"/>
                <w:b/>
              </w:rPr>
              <w:t>Qualifying Criteria</w:t>
            </w:r>
          </w:p>
        </w:tc>
        <w:tc>
          <w:tcPr>
            <w:tcW w:w="4408" w:type="dxa"/>
          </w:tcPr>
          <w:p w14:paraId="48751C35" w14:textId="77777777" w:rsidR="007D5F16" w:rsidRDefault="007D5F16" w:rsidP="00CE1966">
            <w:pPr>
              <w:spacing w:after="225" w:line="360" w:lineRule="atLeast"/>
              <w:rPr>
                <w:rFonts w:asciiTheme="minorHAnsi" w:eastAsia="Times New Roman" w:hAnsiTheme="minorHAnsi" w:cs="Times New Roman"/>
                <w:color w:val="000000"/>
                <w:lang w:eastAsia="en-AU"/>
              </w:rPr>
            </w:pPr>
          </w:p>
          <w:p w14:paraId="4FC7FBF6" w14:textId="23FBA07C" w:rsidR="007D5F16" w:rsidRPr="00C72AF3" w:rsidRDefault="00C72AF3" w:rsidP="00CE1966">
            <w:pPr>
              <w:spacing w:after="225" w:line="360" w:lineRule="atLeast"/>
              <w:rPr>
                <w:rFonts w:asciiTheme="minorHAnsi" w:eastAsia="Times New Roman" w:hAnsiTheme="minorHAnsi" w:cs="Times New Roman"/>
                <w:b/>
                <w:color w:val="000000"/>
                <w:lang w:eastAsia="en-AU"/>
              </w:rPr>
            </w:pPr>
            <w:r w:rsidRPr="00C72AF3">
              <w:rPr>
                <w:rFonts w:asciiTheme="minorHAnsi" w:eastAsia="Times New Roman" w:hAnsiTheme="minorHAnsi" w:cs="Times New Roman"/>
                <w:b/>
                <w:color w:val="000000"/>
                <w:lang w:eastAsia="en-AU"/>
              </w:rPr>
              <w:lastRenderedPageBreak/>
              <w:t xml:space="preserve">Specific Antibody deficiency </w:t>
            </w:r>
          </w:p>
          <w:p w14:paraId="4619FCFC" w14:textId="77777777" w:rsidR="007D5F16" w:rsidRPr="00CE1966" w:rsidRDefault="007D5F16" w:rsidP="00CE1966">
            <w:pPr>
              <w:spacing w:after="225" w:line="360" w:lineRule="atLeast"/>
              <w:rPr>
                <w:rFonts w:asciiTheme="minorHAnsi" w:eastAsia="Times New Roman" w:hAnsiTheme="minorHAnsi" w:cs="Times New Roman"/>
                <w:color w:val="000000"/>
                <w:lang w:eastAsia="en-AU"/>
              </w:rPr>
            </w:pPr>
            <w:r w:rsidRPr="00CE1966">
              <w:rPr>
                <w:rFonts w:asciiTheme="minorHAnsi" w:eastAsia="Times New Roman" w:hAnsiTheme="minorHAnsi" w:cs="Times New Roman"/>
                <w:color w:val="000000"/>
                <w:lang w:eastAsia="en-AU"/>
              </w:rPr>
              <w:t>To access IVIg for a period of 12 months, the following qualifying criteria must be met:</w:t>
            </w:r>
          </w:p>
          <w:p w14:paraId="6E0B299C" w14:textId="77777777" w:rsidR="007D5F16" w:rsidRPr="00CE1966" w:rsidRDefault="007D5F16" w:rsidP="00860EBE">
            <w:pPr>
              <w:numPr>
                <w:ilvl w:val="0"/>
                <w:numId w:val="2"/>
              </w:numPr>
              <w:spacing w:before="100" w:beforeAutospacing="1" w:after="150" w:line="360" w:lineRule="atLeast"/>
              <w:rPr>
                <w:rFonts w:asciiTheme="minorHAnsi" w:eastAsia="Times New Roman" w:hAnsiTheme="minorHAnsi" w:cs="Times New Roman"/>
                <w:color w:val="000000"/>
                <w:lang w:eastAsia="en-AU"/>
              </w:rPr>
            </w:pPr>
            <w:r w:rsidRPr="00CE1966">
              <w:rPr>
                <w:rFonts w:asciiTheme="minorHAnsi" w:eastAsia="Times New Roman" w:hAnsiTheme="minorHAnsi" w:cs="Times New Roman"/>
                <w:color w:val="000000"/>
                <w:lang w:eastAsia="en-AU"/>
              </w:rPr>
              <w:t>A clinical immunologist must be consulted to confirm the diagnosis;</w:t>
            </w:r>
          </w:p>
          <w:p w14:paraId="3D482C40" w14:textId="77777777" w:rsidR="007D5F16" w:rsidRPr="00CE1966" w:rsidRDefault="007D5F16" w:rsidP="00CE1966">
            <w:pPr>
              <w:spacing w:after="225" w:line="360" w:lineRule="atLeast"/>
              <w:rPr>
                <w:rFonts w:asciiTheme="minorHAnsi" w:eastAsia="Times New Roman" w:hAnsiTheme="minorHAnsi" w:cs="Times New Roman"/>
                <w:color w:val="000000"/>
                <w:lang w:eastAsia="en-AU"/>
              </w:rPr>
            </w:pPr>
            <w:r w:rsidRPr="00CE1966">
              <w:rPr>
                <w:rFonts w:asciiTheme="minorHAnsi" w:eastAsia="Times New Roman" w:hAnsiTheme="minorHAnsi" w:cs="Times New Roman"/>
                <w:color w:val="000000"/>
                <w:lang w:eastAsia="en-AU"/>
              </w:rPr>
              <w:t>AND</w:t>
            </w:r>
          </w:p>
          <w:p w14:paraId="14D6605B" w14:textId="77777777" w:rsidR="007D5F16" w:rsidRPr="00CE1966" w:rsidRDefault="007D5F16" w:rsidP="00860EBE">
            <w:pPr>
              <w:numPr>
                <w:ilvl w:val="0"/>
                <w:numId w:val="3"/>
              </w:numPr>
              <w:spacing w:before="100" w:beforeAutospacing="1" w:after="150" w:line="360" w:lineRule="atLeast"/>
              <w:rPr>
                <w:rFonts w:asciiTheme="minorHAnsi" w:eastAsia="Times New Roman" w:hAnsiTheme="minorHAnsi" w:cs="Times New Roman"/>
                <w:color w:val="000000"/>
                <w:lang w:eastAsia="en-AU"/>
              </w:rPr>
            </w:pPr>
            <w:r w:rsidRPr="00CE1966">
              <w:rPr>
                <w:rFonts w:asciiTheme="minorHAnsi" w:eastAsia="Times New Roman" w:hAnsiTheme="minorHAnsi" w:cs="Times New Roman"/>
                <w:color w:val="000000"/>
                <w:lang w:eastAsia="en-AU"/>
              </w:rPr>
              <w:t>Frequent bacterial infections despite oral antibiotic therapy consistent with best practice recommendations;</w:t>
            </w:r>
          </w:p>
          <w:p w14:paraId="7F3B3302" w14:textId="77777777" w:rsidR="007D5F16" w:rsidRPr="00CE1966" w:rsidRDefault="007D5F16" w:rsidP="00CE1966">
            <w:pPr>
              <w:spacing w:after="225" w:line="360" w:lineRule="atLeast"/>
              <w:rPr>
                <w:rFonts w:asciiTheme="minorHAnsi" w:eastAsia="Times New Roman" w:hAnsiTheme="minorHAnsi" w:cs="Times New Roman"/>
                <w:color w:val="000000"/>
                <w:lang w:eastAsia="en-AU"/>
              </w:rPr>
            </w:pPr>
            <w:r w:rsidRPr="00CE1966">
              <w:rPr>
                <w:rFonts w:asciiTheme="minorHAnsi" w:eastAsia="Times New Roman" w:hAnsiTheme="minorHAnsi" w:cs="Times New Roman"/>
                <w:color w:val="000000"/>
                <w:lang w:eastAsia="en-AU"/>
              </w:rPr>
              <w:t>AND</w:t>
            </w:r>
          </w:p>
          <w:p w14:paraId="1D20DD86" w14:textId="77777777" w:rsidR="007D5F16" w:rsidRDefault="007D5F16" w:rsidP="00860EBE">
            <w:pPr>
              <w:numPr>
                <w:ilvl w:val="0"/>
                <w:numId w:val="4"/>
              </w:numPr>
              <w:spacing w:before="100" w:beforeAutospacing="1" w:after="150" w:line="360" w:lineRule="atLeast"/>
              <w:rPr>
                <w:rFonts w:asciiTheme="minorHAnsi" w:eastAsia="Times New Roman" w:hAnsiTheme="minorHAnsi" w:cs="Times New Roman"/>
                <w:color w:val="000000"/>
                <w:lang w:eastAsia="en-AU"/>
              </w:rPr>
            </w:pPr>
            <w:r w:rsidRPr="00CE1966">
              <w:rPr>
                <w:rFonts w:asciiTheme="minorHAnsi" w:eastAsia="Times New Roman" w:hAnsiTheme="minorHAnsi" w:cs="Times New Roman"/>
                <w:color w:val="000000"/>
                <w:lang w:eastAsia="en-AU"/>
              </w:rPr>
              <w:t>Documented failure of serum antibody response to unconjugated pneumococcal or protein vaccine challenge.</w:t>
            </w:r>
          </w:p>
          <w:p w14:paraId="0200ECC9" w14:textId="77777777" w:rsidR="00C72AF3" w:rsidRDefault="00C72AF3" w:rsidP="00C72AF3">
            <w:pPr>
              <w:spacing w:before="100" w:beforeAutospacing="1" w:after="150" w:line="360" w:lineRule="atLeast"/>
              <w:rPr>
                <w:rFonts w:asciiTheme="minorHAnsi" w:eastAsia="Times New Roman" w:hAnsiTheme="minorHAnsi" w:cs="Times New Roman"/>
                <w:color w:val="000000"/>
                <w:lang w:eastAsia="en-AU"/>
              </w:rPr>
            </w:pPr>
          </w:p>
          <w:p w14:paraId="78889B9B" w14:textId="77777777" w:rsidR="00C72AF3" w:rsidRDefault="00C72AF3" w:rsidP="00C72AF3">
            <w:pPr>
              <w:spacing w:before="100" w:beforeAutospacing="1" w:after="150" w:line="360" w:lineRule="atLeast"/>
              <w:rPr>
                <w:rFonts w:asciiTheme="minorHAnsi" w:eastAsia="Times New Roman" w:hAnsiTheme="minorHAnsi" w:cs="Times New Roman"/>
                <w:color w:val="000000"/>
                <w:lang w:eastAsia="en-AU"/>
              </w:rPr>
            </w:pPr>
          </w:p>
          <w:p w14:paraId="2BC6792E" w14:textId="77777777" w:rsidR="00C72AF3" w:rsidRDefault="00C72AF3" w:rsidP="00C72AF3">
            <w:pPr>
              <w:spacing w:before="100" w:beforeAutospacing="1" w:after="150" w:line="360" w:lineRule="atLeast"/>
              <w:rPr>
                <w:rFonts w:asciiTheme="minorHAnsi" w:eastAsia="Times New Roman" w:hAnsiTheme="minorHAnsi" w:cs="Times New Roman"/>
                <w:color w:val="000000"/>
                <w:lang w:eastAsia="en-AU"/>
              </w:rPr>
            </w:pPr>
          </w:p>
          <w:p w14:paraId="7823AB74" w14:textId="77777777" w:rsidR="00C72AF3" w:rsidRDefault="00C72AF3" w:rsidP="00C72AF3">
            <w:pPr>
              <w:spacing w:before="100" w:beforeAutospacing="1" w:after="150" w:line="360" w:lineRule="atLeast"/>
              <w:rPr>
                <w:rFonts w:asciiTheme="minorHAnsi" w:eastAsia="Times New Roman" w:hAnsiTheme="minorHAnsi" w:cs="Times New Roman"/>
                <w:color w:val="000000"/>
                <w:lang w:eastAsia="en-AU"/>
              </w:rPr>
            </w:pPr>
          </w:p>
          <w:p w14:paraId="0B7587DE" w14:textId="77777777" w:rsidR="00C72AF3" w:rsidRDefault="00C72AF3" w:rsidP="00C72AF3">
            <w:pPr>
              <w:spacing w:before="100" w:beforeAutospacing="1" w:after="150" w:line="360" w:lineRule="atLeast"/>
              <w:rPr>
                <w:rFonts w:asciiTheme="minorHAnsi" w:eastAsia="Times New Roman" w:hAnsiTheme="minorHAnsi" w:cs="Times New Roman"/>
                <w:color w:val="000000"/>
                <w:lang w:eastAsia="en-AU"/>
              </w:rPr>
            </w:pPr>
          </w:p>
          <w:p w14:paraId="36E9F38A" w14:textId="77777777" w:rsidR="00C72AF3" w:rsidRDefault="00C72AF3" w:rsidP="00C72AF3">
            <w:pPr>
              <w:spacing w:before="100" w:beforeAutospacing="1" w:after="150" w:line="360" w:lineRule="atLeast"/>
              <w:rPr>
                <w:rFonts w:asciiTheme="minorHAnsi" w:eastAsia="Times New Roman" w:hAnsiTheme="minorHAnsi" w:cs="Times New Roman"/>
                <w:color w:val="000000"/>
                <w:lang w:eastAsia="en-AU"/>
              </w:rPr>
            </w:pPr>
          </w:p>
          <w:p w14:paraId="4830CF32" w14:textId="77777777" w:rsidR="00C72AF3" w:rsidRDefault="00C72AF3" w:rsidP="00C72AF3">
            <w:pPr>
              <w:spacing w:before="100" w:beforeAutospacing="1" w:after="150" w:line="360" w:lineRule="atLeast"/>
              <w:rPr>
                <w:rFonts w:asciiTheme="minorHAnsi" w:eastAsia="Times New Roman" w:hAnsiTheme="minorHAnsi" w:cs="Times New Roman"/>
                <w:color w:val="000000"/>
                <w:lang w:eastAsia="en-AU"/>
              </w:rPr>
            </w:pPr>
          </w:p>
          <w:p w14:paraId="7AF5FD16" w14:textId="77777777" w:rsidR="00C72AF3" w:rsidRDefault="00C72AF3" w:rsidP="00C72AF3">
            <w:pPr>
              <w:spacing w:before="100" w:beforeAutospacing="1" w:after="150" w:line="360" w:lineRule="atLeast"/>
              <w:rPr>
                <w:rFonts w:asciiTheme="minorHAnsi" w:eastAsia="Times New Roman" w:hAnsiTheme="minorHAnsi" w:cs="Times New Roman"/>
                <w:color w:val="000000"/>
                <w:lang w:eastAsia="en-AU"/>
              </w:rPr>
            </w:pPr>
          </w:p>
          <w:p w14:paraId="49FB363E" w14:textId="77777777" w:rsidR="00C72AF3" w:rsidRDefault="00C72AF3" w:rsidP="00C72AF3">
            <w:pPr>
              <w:spacing w:before="100" w:beforeAutospacing="1" w:after="150" w:line="360" w:lineRule="atLeast"/>
              <w:rPr>
                <w:rFonts w:asciiTheme="minorHAnsi" w:eastAsia="Times New Roman" w:hAnsiTheme="minorHAnsi" w:cs="Times New Roman"/>
                <w:color w:val="000000"/>
                <w:lang w:eastAsia="en-AU"/>
              </w:rPr>
            </w:pPr>
          </w:p>
          <w:p w14:paraId="5D546E2D" w14:textId="77777777" w:rsidR="00317F15" w:rsidRDefault="00317F15" w:rsidP="00C72AF3">
            <w:pPr>
              <w:spacing w:before="100" w:beforeAutospacing="1" w:after="150" w:line="360" w:lineRule="atLeast"/>
              <w:rPr>
                <w:rFonts w:asciiTheme="minorHAnsi" w:eastAsia="Times New Roman" w:hAnsiTheme="minorHAnsi" w:cs="Times New Roman"/>
                <w:color w:val="000000"/>
                <w:lang w:eastAsia="en-AU"/>
              </w:rPr>
            </w:pPr>
          </w:p>
          <w:p w14:paraId="18F7DC57" w14:textId="77777777" w:rsidR="00C23ECA" w:rsidRPr="00CE1966" w:rsidRDefault="00C23ECA" w:rsidP="00C72AF3">
            <w:pPr>
              <w:spacing w:before="100" w:beforeAutospacing="1" w:after="150" w:line="360" w:lineRule="atLeast"/>
              <w:rPr>
                <w:rFonts w:asciiTheme="minorHAnsi" w:eastAsia="Times New Roman" w:hAnsiTheme="minorHAnsi" w:cs="Times New Roman"/>
                <w:color w:val="000000"/>
                <w:lang w:eastAsia="en-AU"/>
              </w:rPr>
            </w:pPr>
          </w:p>
          <w:p w14:paraId="2CA1061A" w14:textId="77777777" w:rsidR="007D5F16" w:rsidRDefault="00C72AF3" w:rsidP="00C72AF3">
            <w:pPr>
              <w:spacing w:line="276" w:lineRule="auto"/>
              <w:rPr>
                <w:rFonts w:asciiTheme="minorHAnsi" w:hAnsiTheme="minorHAnsi"/>
                <w:b/>
              </w:rPr>
            </w:pPr>
            <w:r>
              <w:rPr>
                <w:rFonts w:asciiTheme="minorHAnsi" w:hAnsiTheme="minorHAnsi"/>
                <w:b/>
              </w:rPr>
              <w:t>IgG Subclass</w:t>
            </w:r>
          </w:p>
          <w:p w14:paraId="528B1961" w14:textId="77777777" w:rsidR="00C72AF3" w:rsidRDefault="00C72AF3" w:rsidP="00C72AF3">
            <w:pPr>
              <w:spacing w:line="276" w:lineRule="auto"/>
              <w:rPr>
                <w:rFonts w:asciiTheme="minorHAnsi" w:hAnsiTheme="minorHAnsi"/>
                <w:b/>
              </w:rPr>
            </w:pPr>
          </w:p>
          <w:p w14:paraId="0925E648" w14:textId="77777777" w:rsidR="00C72AF3" w:rsidRPr="00C72AF3" w:rsidRDefault="00C72AF3" w:rsidP="00C72AF3">
            <w:pPr>
              <w:spacing w:line="276" w:lineRule="auto"/>
              <w:rPr>
                <w:rFonts w:asciiTheme="minorHAnsi" w:hAnsiTheme="minorHAnsi"/>
                <w:i/>
                <w:u w:val="single"/>
              </w:rPr>
            </w:pPr>
            <w:r w:rsidRPr="00C72AF3">
              <w:rPr>
                <w:rFonts w:asciiTheme="minorHAnsi" w:hAnsiTheme="minorHAnsi"/>
                <w:i/>
                <w:u w:val="single"/>
              </w:rPr>
              <w:t>New patients</w:t>
            </w:r>
          </w:p>
          <w:p w14:paraId="3499777D" w14:textId="77777777" w:rsidR="00C72AF3" w:rsidRPr="00C72AF3" w:rsidRDefault="00C72AF3" w:rsidP="00C72AF3">
            <w:pPr>
              <w:widowControl w:val="0"/>
              <w:autoSpaceDE w:val="0"/>
              <w:autoSpaceDN w:val="0"/>
              <w:adjustRightInd w:val="0"/>
              <w:spacing w:line="276" w:lineRule="auto"/>
              <w:rPr>
                <w:rFonts w:asciiTheme="minorHAnsi" w:eastAsiaTheme="minorHAnsi" w:hAnsiTheme="minorHAnsi" w:cs="Lucida Sans"/>
                <w:lang w:val="en-US"/>
              </w:rPr>
            </w:pPr>
            <w:r w:rsidRPr="00C72AF3">
              <w:rPr>
                <w:rFonts w:asciiTheme="minorHAnsi" w:eastAsiaTheme="minorHAnsi" w:hAnsiTheme="minorHAnsi" w:cs="Lucida Sans"/>
                <w:lang w:val="en-US"/>
              </w:rPr>
              <w:t>IVIg is not funded for new patients diagnosed with IgG subclass deficiency.</w:t>
            </w:r>
          </w:p>
          <w:p w14:paraId="7E89C645" w14:textId="77777777" w:rsidR="00C72AF3" w:rsidRDefault="00C72AF3" w:rsidP="00C72AF3">
            <w:pPr>
              <w:widowControl w:val="0"/>
              <w:tabs>
                <w:tab w:val="left" w:pos="220"/>
                <w:tab w:val="left" w:pos="720"/>
              </w:tabs>
              <w:autoSpaceDE w:val="0"/>
              <w:autoSpaceDN w:val="0"/>
              <w:adjustRightInd w:val="0"/>
              <w:spacing w:line="276" w:lineRule="auto"/>
              <w:rPr>
                <w:rFonts w:asciiTheme="minorHAnsi" w:eastAsiaTheme="minorHAnsi" w:hAnsiTheme="minorHAnsi" w:cs="Lucida Sans"/>
                <w:i/>
                <w:iCs/>
                <w:u w:val="single"/>
                <w:lang w:val="en-US"/>
              </w:rPr>
            </w:pPr>
            <w:r w:rsidRPr="00C72AF3">
              <w:rPr>
                <w:rFonts w:asciiTheme="minorHAnsi" w:eastAsiaTheme="minorHAnsi" w:hAnsiTheme="minorHAnsi" w:cs="Lucida Sans"/>
                <w:i/>
                <w:iCs/>
                <w:u w:val="single"/>
                <w:lang w:val="en-US"/>
              </w:rPr>
              <w:t>Patients who were receiving IVIg for IgG subclass deficiency before initial publication of the Criteria (December 2007)</w:t>
            </w:r>
          </w:p>
          <w:p w14:paraId="074876C4" w14:textId="77777777" w:rsidR="00C72AF3" w:rsidRPr="00C72AF3" w:rsidRDefault="00C72AF3" w:rsidP="00C72AF3">
            <w:pPr>
              <w:widowControl w:val="0"/>
              <w:tabs>
                <w:tab w:val="left" w:pos="220"/>
                <w:tab w:val="left" w:pos="720"/>
              </w:tabs>
              <w:autoSpaceDE w:val="0"/>
              <w:autoSpaceDN w:val="0"/>
              <w:adjustRightInd w:val="0"/>
              <w:spacing w:line="276" w:lineRule="auto"/>
              <w:rPr>
                <w:rFonts w:asciiTheme="minorHAnsi" w:eastAsiaTheme="minorHAnsi" w:hAnsiTheme="minorHAnsi" w:cs="Lucida Sans"/>
                <w:lang w:val="en-US"/>
              </w:rPr>
            </w:pPr>
          </w:p>
          <w:p w14:paraId="06884E27" w14:textId="77777777" w:rsidR="00C72AF3" w:rsidRPr="00C72AF3" w:rsidRDefault="00C72AF3" w:rsidP="00C72AF3">
            <w:pPr>
              <w:widowControl w:val="0"/>
              <w:numPr>
                <w:ilvl w:val="0"/>
                <w:numId w:val="36"/>
              </w:numPr>
              <w:tabs>
                <w:tab w:val="left" w:pos="220"/>
                <w:tab w:val="left" w:pos="720"/>
              </w:tabs>
              <w:autoSpaceDE w:val="0"/>
              <w:autoSpaceDN w:val="0"/>
              <w:adjustRightInd w:val="0"/>
              <w:spacing w:line="276" w:lineRule="auto"/>
              <w:ind w:hanging="720"/>
              <w:rPr>
                <w:rFonts w:asciiTheme="minorHAnsi" w:eastAsiaTheme="minorHAnsi" w:hAnsiTheme="minorHAnsi" w:cs="Lucida Sans"/>
                <w:lang w:val="en-US"/>
              </w:rPr>
            </w:pPr>
            <w:r w:rsidRPr="00C72AF3">
              <w:rPr>
                <w:rFonts w:asciiTheme="minorHAnsi" w:eastAsiaTheme="minorHAnsi" w:hAnsiTheme="minorHAnsi" w:cs="Lucida Sans"/>
                <w:lang w:val="en-US"/>
              </w:rPr>
              <w:t>Without clinically active bronchiectasis or suppurative lung disease:</w:t>
            </w:r>
          </w:p>
          <w:p w14:paraId="362ADA74" w14:textId="77777777" w:rsidR="00C72AF3" w:rsidRDefault="00C72AF3" w:rsidP="00C72AF3">
            <w:pPr>
              <w:widowControl w:val="0"/>
              <w:autoSpaceDE w:val="0"/>
              <w:autoSpaceDN w:val="0"/>
              <w:adjustRightInd w:val="0"/>
              <w:spacing w:line="276" w:lineRule="auto"/>
              <w:rPr>
                <w:rFonts w:asciiTheme="minorHAnsi" w:eastAsiaTheme="minorHAnsi" w:hAnsiTheme="minorHAnsi" w:cs="Lucida Sans"/>
                <w:lang w:val="en-US"/>
              </w:rPr>
            </w:pPr>
            <w:r w:rsidRPr="00C72AF3">
              <w:rPr>
                <w:rFonts w:asciiTheme="minorHAnsi" w:eastAsiaTheme="minorHAnsi" w:hAnsiTheme="minorHAnsi" w:cs="Lucida Sans"/>
                <w:lang w:val="en-US"/>
              </w:rPr>
              <w:t xml:space="preserve">These patients should have ceased IVIg and </w:t>
            </w:r>
            <w:r w:rsidRPr="00C72AF3">
              <w:rPr>
                <w:rFonts w:asciiTheme="minorHAnsi" w:eastAsiaTheme="minorHAnsi" w:hAnsiTheme="minorHAnsi" w:cs="Lucida Sans"/>
                <w:lang w:val="en-US"/>
              </w:rPr>
              <w:lastRenderedPageBreak/>
              <w:t>had their immunological status re-evaluated. Patients with a confirmed IgG deficiency have become eligible under another indication (e.g. primary immunodeficiency with antibody deficiency). Patients without a confirmed IgG deficiency have ceased IVIg therapy.</w:t>
            </w:r>
          </w:p>
          <w:p w14:paraId="455CCF1A" w14:textId="77777777" w:rsidR="00C72AF3" w:rsidRPr="00C72AF3" w:rsidRDefault="00C72AF3" w:rsidP="00C72AF3">
            <w:pPr>
              <w:widowControl w:val="0"/>
              <w:autoSpaceDE w:val="0"/>
              <w:autoSpaceDN w:val="0"/>
              <w:adjustRightInd w:val="0"/>
              <w:spacing w:line="276" w:lineRule="auto"/>
              <w:rPr>
                <w:rFonts w:asciiTheme="minorHAnsi" w:eastAsiaTheme="minorHAnsi" w:hAnsiTheme="minorHAnsi" w:cs="Lucida Sans"/>
                <w:lang w:val="en-US"/>
              </w:rPr>
            </w:pPr>
          </w:p>
          <w:p w14:paraId="250B5508" w14:textId="77777777" w:rsidR="00C72AF3" w:rsidRPr="00C72AF3" w:rsidRDefault="00C72AF3" w:rsidP="00C72AF3">
            <w:pPr>
              <w:widowControl w:val="0"/>
              <w:numPr>
                <w:ilvl w:val="0"/>
                <w:numId w:val="37"/>
              </w:numPr>
              <w:tabs>
                <w:tab w:val="left" w:pos="220"/>
                <w:tab w:val="left" w:pos="720"/>
              </w:tabs>
              <w:autoSpaceDE w:val="0"/>
              <w:autoSpaceDN w:val="0"/>
              <w:adjustRightInd w:val="0"/>
              <w:spacing w:line="276" w:lineRule="auto"/>
              <w:ind w:hanging="720"/>
              <w:rPr>
                <w:rFonts w:asciiTheme="minorHAnsi" w:eastAsiaTheme="minorHAnsi" w:hAnsiTheme="minorHAnsi" w:cs="Lucida Sans"/>
                <w:lang w:val="en-US"/>
              </w:rPr>
            </w:pPr>
            <w:r w:rsidRPr="00C72AF3">
              <w:rPr>
                <w:rFonts w:asciiTheme="minorHAnsi" w:eastAsiaTheme="minorHAnsi" w:hAnsiTheme="minorHAnsi" w:cs="Lucida Sans"/>
                <w:lang w:val="en-US"/>
              </w:rPr>
              <w:t>With clinically active bronchiectasis or suppurative lung disease over the previous 12 months: To be eligible to receive IVIg for a further 12 months, the following is required:</w:t>
            </w:r>
          </w:p>
          <w:p w14:paraId="3EC9D2EC" w14:textId="77777777" w:rsidR="00C72AF3" w:rsidRPr="00C72AF3" w:rsidRDefault="00C72AF3" w:rsidP="00C72AF3">
            <w:pPr>
              <w:widowControl w:val="0"/>
              <w:numPr>
                <w:ilvl w:val="0"/>
                <w:numId w:val="38"/>
              </w:numPr>
              <w:tabs>
                <w:tab w:val="left" w:pos="220"/>
                <w:tab w:val="left" w:pos="720"/>
              </w:tabs>
              <w:autoSpaceDE w:val="0"/>
              <w:autoSpaceDN w:val="0"/>
              <w:adjustRightInd w:val="0"/>
              <w:spacing w:line="276" w:lineRule="auto"/>
              <w:ind w:hanging="720"/>
              <w:rPr>
                <w:rFonts w:asciiTheme="minorHAnsi" w:eastAsiaTheme="minorHAnsi" w:hAnsiTheme="minorHAnsi" w:cs="Lucida Sans"/>
                <w:lang w:val="en-US"/>
              </w:rPr>
            </w:pPr>
            <w:r w:rsidRPr="00C72AF3">
              <w:rPr>
                <w:rFonts w:asciiTheme="minorHAnsi" w:eastAsiaTheme="minorHAnsi" w:hAnsiTheme="minorHAnsi" w:cs="Lucida Sans"/>
                <w:lang w:val="en-US"/>
              </w:rPr>
              <w:t>Written confirmation from the treating clinical immunologist that :</w:t>
            </w:r>
          </w:p>
          <w:p w14:paraId="5FAD785B" w14:textId="77777777" w:rsidR="00C72AF3" w:rsidRPr="00C72AF3" w:rsidRDefault="00C72AF3" w:rsidP="00C72AF3">
            <w:pPr>
              <w:widowControl w:val="0"/>
              <w:numPr>
                <w:ilvl w:val="0"/>
                <w:numId w:val="39"/>
              </w:numPr>
              <w:tabs>
                <w:tab w:val="left" w:pos="220"/>
                <w:tab w:val="left" w:pos="720"/>
              </w:tabs>
              <w:autoSpaceDE w:val="0"/>
              <w:autoSpaceDN w:val="0"/>
              <w:adjustRightInd w:val="0"/>
              <w:spacing w:line="276" w:lineRule="auto"/>
              <w:ind w:hanging="720"/>
              <w:rPr>
                <w:rFonts w:asciiTheme="minorHAnsi" w:eastAsiaTheme="minorHAnsi" w:hAnsiTheme="minorHAnsi" w:cs="Lucida Sans"/>
                <w:lang w:val="en-US"/>
              </w:rPr>
            </w:pPr>
            <w:r w:rsidRPr="00C72AF3">
              <w:rPr>
                <w:rFonts w:asciiTheme="minorHAnsi" w:eastAsiaTheme="minorHAnsi" w:hAnsiTheme="minorHAnsi" w:cs="Lucida Sans"/>
                <w:lang w:val="en-US"/>
              </w:rPr>
              <w:t>an annual review has been undertaken;</w:t>
            </w:r>
          </w:p>
          <w:p w14:paraId="1CEF25FC" w14:textId="77777777" w:rsidR="00C72AF3" w:rsidRPr="00C72AF3" w:rsidRDefault="00C72AF3" w:rsidP="00C72AF3">
            <w:pPr>
              <w:widowControl w:val="0"/>
              <w:numPr>
                <w:ilvl w:val="0"/>
                <w:numId w:val="39"/>
              </w:numPr>
              <w:tabs>
                <w:tab w:val="left" w:pos="220"/>
                <w:tab w:val="left" w:pos="720"/>
              </w:tabs>
              <w:autoSpaceDE w:val="0"/>
              <w:autoSpaceDN w:val="0"/>
              <w:adjustRightInd w:val="0"/>
              <w:spacing w:line="276" w:lineRule="auto"/>
              <w:ind w:hanging="720"/>
              <w:rPr>
                <w:rFonts w:asciiTheme="minorHAnsi" w:eastAsiaTheme="minorHAnsi" w:hAnsiTheme="minorHAnsi" w:cs="Lucida Sans"/>
                <w:lang w:val="en-US"/>
              </w:rPr>
            </w:pPr>
            <w:r w:rsidRPr="00C72AF3">
              <w:rPr>
                <w:rFonts w:asciiTheme="minorHAnsi" w:eastAsiaTheme="minorHAnsi" w:hAnsiTheme="minorHAnsi" w:cs="Lucida Sans"/>
                <w:lang w:val="en-US"/>
              </w:rPr>
              <w:t>the patient has demonstrated clinical benefit; and</w:t>
            </w:r>
          </w:p>
          <w:p w14:paraId="1D90EFBE" w14:textId="77777777" w:rsidR="00C72AF3" w:rsidRPr="00C72AF3" w:rsidRDefault="00C72AF3" w:rsidP="00C72AF3">
            <w:pPr>
              <w:widowControl w:val="0"/>
              <w:numPr>
                <w:ilvl w:val="0"/>
                <w:numId w:val="39"/>
              </w:numPr>
              <w:tabs>
                <w:tab w:val="left" w:pos="220"/>
                <w:tab w:val="left" w:pos="720"/>
              </w:tabs>
              <w:autoSpaceDE w:val="0"/>
              <w:autoSpaceDN w:val="0"/>
              <w:adjustRightInd w:val="0"/>
              <w:spacing w:line="276" w:lineRule="auto"/>
              <w:ind w:hanging="720"/>
              <w:rPr>
                <w:rFonts w:asciiTheme="minorHAnsi" w:eastAsiaTheme="minorHAnsi" w:hAnsiTheme="minorHAnsi" w:cs="Lucida Sans"/>
                <w:lang w:val="en-US"/>
              </w:rPr>
            </w:pPr>
            <w:r w:rsidRPr="00C72AF3">
              <w:rPr>
                <w:rFonts w:asciiTheme="minorHAnsi" w:eastAsiaTheme="minorHAnsi" w:hAnsiTheme="minorHAnsi" w:cs="Lucida Sans"/>
                <w:lang w:val="en-US"/>
              </w:rPr>
              <w:t>a trial period of cessation of IVIg for the purpose of immunological evaluation is medically contraindicated on safety grounds.</w:t>
            </w:r>
          </w:p>
          <w:p w14:paraId="5C4A1288" w14:textId="77777777" w:rsidR="00C72AF3" w:rsidRPr="00C72AF3" w:rsidRDefault="00C72AF3" w:rsidP="00C72AF3">
            <w:pPr>
              <w:widowControl w:val="0"/>
              <w:autoSpaceDE w:val="0"/>
              <w:autoSpaceDN w:val="0"/>
              <w:adjustRightInd w:val="0"/>
              <w:spacing w:line="276" w:lineRule="auto"/>
              <w:rPr>
                <w:rFonts w:asciiTheme="minorHAnsi" w:eastAsiaTheme="minorHAnsi" w:hAnsiTheme="minorHAnsi" w:cs="Lucida Sans"/>
                <w:lang w:val="en-US"/>
              </w:rPr>
            </w:pPr>
            <w:r w:rsidRPr="00C72AF3">
              <w:rPr>
                <w:rFonts w:asciiTheme="minorHAnsi" w:eastAsiaTheme="minorHAnsi" w:hAnsiTheme="minorHAnsi" w:cs="Lucida Sans"/>
                <w:lang w:val="en-US"/>
              </w:rPr>
              <w:t>AND</w:t>
            </w:r>
          </w:p>
          <w:p w14:paraId="20B5C253" w14:textId="77777777" w:rsidR="00C72AF3" w:rsidRDefault="00C72AF3" w:rsidP="00C72AF3">
            <w:pPr>
              <w:widowControl w:val="0"/>
              <w:numPr>
                <w:ilvl w:val="0"/>
                <w:numId w:val="40"/>
              </w:numPr>
              <w:tabs>
                <w:tab w:val="left" w:pos="220"/>
                <w:tab w:val="left" w:pos="720"/>
              </w:tabs>
              <w:autoSpaceDE w:val="0"/>
              <w:autoSpaceDN w:val="0"/>
              <w:adjustRightInd w:val="0"/>
              <w:spacing w:line="276" w:lineRule="auto"/>
              <w:ind w:hanging="720"/>
              <w:rPr>
                <w:rFonts w:asciiTheme="minorHAnsi" w:eastAsiaTheme="minorHAnsi" w:hAnsiTheme="minorHAnsi" w:cs="Lucida Sans"/>
                <w:lang w:val="en-US"/>
              </w:rPr>
            </w:pPr>
            <w:r w:rsidRPr="00C72AF3">
              <w:rPr>
                <w:rFonts w:asciiTheme="minorHAnsi" w:eastAsiaTheme="minorHAnsi" w:hAnsiTheme="minorHAnsi" w:cs="Lucida Sans"/>
                <w:lang w:val="en-US"/>
              </w:rPr>
              <w:t>Written confirmation by a second physician that cessation of IVIg for the purpose of immunological evaluation is medically contraindicated on safety grounds.</w:t>
            </w:r>
          </w:p>
          <w:p w14:paraId="1481E579" w14:textId="77777777" w:rsidR="00C72AF3" w:rsidRPr="00C72AF3" w:rsidRDefault="00C72AF3" w:rsidP="00C72AF3">
            <w:pPr>
              <w:widowControl w:val="0"/>
              <w:tabs>
                <w:tab w:val="left" w:pos="220"/>
                <w:tab w:val="left" w:pos="720"/>
              </w:tabs>
              <w:autoSpaceDE w:val="0"/>
              <w:autoSpaceDN w:val="0"/>
              <w:adjustRightInd w:val="0"/>
              <w:spacing w:line="276" w:lineRule="auto"/>
              <w:ind w:left="720"/>
              <w:rPr>
                <w:rFonts w:asciiTheme="minorHAnsi" w:eastAsiaTheme="minorHAnsi" w:hAnsiTheme="minorHAnsi" w:cs="Lucida Sans"/>
                <w:lang w:val="en-US"/>
              </w:rPr>
            </w:pPr>
          </w:p>
          <w:p w14:paraId="10DF12A8" w14:textId="02201614" w:rsidR="00C72AF3" w:rsidRPr="00CE1966" w:rsidRDefault="00C72AF3" w:rsidP="00C72AF3">
            <w:pPr>
              <w:spacing w:line="276" w:lineRule="auto"/>
              <w:rPr>
                <w:rFonts w:asciiTheme="minorHAnsi" w:hAnsiTheme="minorHAnsi"/>
                <w:b/>
              </w:rPr>
            </w:pPr>
            <w:r w:rsidRPr="00C72AF3">
              <w:rPr>
                <w:rFonts w:asciiTheme="minorHAnsi" w:eastAsiaTheme="minorHAnsi" w:hAnsiTheme="minorHAnsi" w:cs="Lucida Sans"/>
                <w:b/>
                <w:bCs/>
                <w:lang w:val="en-US"/>
              </w:rPr>
              <w:t xml:space="preserve">NOTE: </w:t>
            </w:r>
            <w:r w:rsidRPr="00C72AF3">
              <w:rPr>
                <w:rFonts w:asciiTheme="minorHAnsi" w:eastAsiaTheme="minorHAnsi" w:hAnsiTheme="minorHAnsi" w:cs="Lucida Sans"/>
                <w:lang w:val="en-US"/>
              </w:rPr>
              <w:t xml:space="preserve">The above criteria for initial and </w:t>
            </w:r>
            <w:r w:rsidRPr="00C72AF3">
              <w:rPr>
                <w:rFonts w:asciiTheme="minorHAnsi" w:eastAsiaTheme="minorHAnsi" w:hAnsiTheme="minorHAnsi" w:cs="Lucida Sans"/>
                <w:lang w:val="en-US"/>
              </w:rPr>
              <w:lastRenderedPageBreak/>
              <w:t>ongoing access to IVIg funded by all governments under the National Blood Arrangements will be reviewed in light of emerging evidence at the next review of the Criteria.</w:t>
            </w:r>
          </w:p>
        </w:tc>
        <w:tc>
          <w:tcPr>
            <w:tcW w:w="4819" w:type="dxa"/>
            <w:gridSpan w:val="3"/>
          </w:tcPr>
          <w:p w14:paraId="58DB7A9E" w14:textId="77777777" w:rsidR="007D5F16" w:rsidRPr="00323620" w:rsidRDefault="007D5F16" w:rsidP="00C72AF3">
            <w:pPr>
              <w:spacing w:before="100" w:beforeAutospacing="1" w:after="120" w:line="276" w:lineRule="auto"/>
              <w:rPr>
                <w:b/>
              </w:rPr>
            </w:pPr>
            <w:r w:rsidRPr="00323620">
              <w:rPr>
                <w:b/>
              </w:rPr>
              <w:lastRenderedPageBreak/>
              <w:t xml:space="preserve">History of abnormally frequent and/or persistent </w:t>
            </w:r>
            <w:r w:rsidRPr="00323620">
              <w:rPr>
                <w:b/>
              </w:rPr>
              <w:lastRenderedPageBreak/>
              <w:t>bacterial infections associated with a demonstrated failure to mount a ‘normal’ IgG antibody response to pneumococcal polysaccharides or protein antigens, such as tetanus toxoid, after vaccine challenge in a patient with a normal serum total IgG concentration.</w:t>
            </w:r>
          </w:p>
          <w:p w14:paraId="76FBD317" w14:textId="6B251138" w:rsidR="007D5F16" w:rsidRPr="00323620" w:rsidRDefault="007D5F16" w:rsidP="009A04BB">
            <w:pPr>
              <w:pStyle w:val="ListParagraph"/>
              <w:numPr>
                <w:ilvl w:val="0"/>
                <w:numId w:val="43"/>
              </w:numPr>
              <w:spacing w:before="100" w:beforeAutospacing="1" w:after="120" w:line="276" w:lineRule="auto"/>
            </w:pPr>
            <w:r w:rsidRPr="00323620">
              <w:t xml:space="preserve">History of </w:t>
            </w:r>
            <w:r>
              <w:t xml:space="preserve">abnormally frequent and/or persistent and significant </w:t>
            </w:r>
            <w:r w:rsidRPr="00323620">
              <w:t>bacterial infections despite oral antibiotic prophylaxis therapy</w:t>
            </w:r>
          </w:p>
          <w:p w14:paraId="35DE1570" w14:textId="77777777" w:rsidR="007D5F16" w:rsidRPr="00323620" w:rsidRDefault="007D5F16" w:rsidP="00C72AF3">
            <w:pPr>
              <w:spacing w:before="100" w:beforeAutospacing="1" w:after="120" w:line="276" w:lineRule="auto"/>
            </w:pPr>
            <w:r w:rsidRPr="00323620">
              <w:t>AND</w:t>
            </w:r>
          </w:p>
          <w:p w14:paraId="23E93BBC" w14:textId="2D0E246C" w:rsidR="007D5F16" w:rsidRPr="009A04BB" w:rsidRDefault="007D5F16" w:rsidP="009A04BB">
            <w:pPr>
              <w:pStyle w:val="ListParagraph"/>
              <w:numPr>
                <w:ilvl w:val="0"/>
                <w:numId w:val="43"/>
              </w:numPr>
              <w:spacing w:before="100" w:beforeAutospacing="1" w:after="120" w:line="276" w:lineRule="auto"/>
              <w:rPr>
                <w:rFonts w:cs="Times New Roman"/>
                <w:color w:val="000000"/>
                <w:lang w:eastAsia="en-AU"/>
              </w:rPr>
            </w:pPr>
            <w:r w:rsidRPr="00323620">
              <w:t>Documented failure of serum antibody response to conjugated or unconjugated pneumococcal vaccine</w:t>
            </w:r>
            <w:r w:rsidRPr="009A04BB">
              <w:rPr>
                <w:rFonts w:cs="Times New Roman"/>
                <w:color w:val="000000"/>
                <w:lang w:eastAsia="en-AU"/>
              </w:rPr>
              <w:t xml:space="preserve"> or protein vaccine challenge.</w:t>
            </w:r>
          </w:p>
          <w:p w14:paraId="45A5712A" w14:textId="2C247C99" w:rsidR="007D5F16" w:rsidRPr="00955D57" w:rsidRDefault="007D5F16" w:rsidP="00C72AF3">
            <w:pPr>
              <w:spacing w:before="100" w:beforeAutospacing="1" w:after="120" w:line="276" w:lineRule="auto"/>
              <w:rPr>
                <w:rFonts w:asciiTheme="minorHAnsi" w:eastAsia="Calibri" w:hAnsiTheme="minorHAnsi" w:cs="HelveticaCondensed"/>
                <w:b/>
                <w:lang w:eastAsia="en-AU"/>
              </w:rPr>
            </w:pPr>
            <w:r w:rsidRPr="00323620">
              <w:rPr>
                <w:rFonts w:cs="Times New Roman"/>
                <w:b/>
                <w:bCs/>
                <w:lang w:eastAsia="en-AU"/>
              </w:rPr>
              <w:t xml:space="preserve">Please note: </w:t>
            </w:r>
            <w:r>
              <w:rPr>
                <w:rFonts w:cs="Times New Roman"/>
                <w:b/>
                <w:bCs/>
                <w:lang w:eastAsia="en-AU"/>
              </w:rPr>
              <w:t>a</w:t>
            </w:r>
            <w:r w:rsidRPr="00323620">
              <w:rPr>
                <w:rFonts w:cs="Times New Roman"/>
                <w:b/>
                <w:bCs/>
                <w:lang w:eastAsia="en-AU"/>
              </w:rPr>
              <w:t xml:space="preserve"> diagnosis of bronchiectasis and/or suppurative lung disease must be consistent with</w:t>
            </w:r>
            <w:r w:rsidRPr="00323620">
              <w:rPr>
                <w:rFonts w:cs="Times New Roman"/>
                <w:b/>
                <w:bCs/>
                <w:color w:val="808080"/>
                <w:lang w:eastAsia="en-AU"/>
              </w:rPr>
              <w:t xml:space="preserve"> </w:t>
            </w:r>
            <w:r w:rsidRPr="00323620">
              <w:rPr>
                <w:rFonts w:asciiTheme="minorHAnsi" w:hAnsiTheme="minorHAnsi"/>
                <w:b/>
              </w:rPr>
              <w:t>position statement of the Thoracic Society of Australia and New Zealand and the Australian Lung Foundation (Chang et al 2010</w:t>
            </w:r>
            <w:r w:rsidRPr="00955D57">
              <w:rPr>
                <w:rFonts w:asciiTheme="minorHAnsi" w:eastAsia="Calibri" w:hAnsiTheme="minorHAnsi" w:cs="HelveticaCondensed"/>
                <w:b/>
                <w:lang w:eastAsia="en-AU"/>
              </w:rPr>
              <w:t>).</w:t>
            </w:r>
          </w:p>
          <w:p w14:paraId="76F3383D" w14:textId="77777777" w:rsidR="007D5F16" w:rsidRPr="00323620" w:rsidRDefault="007D5F16" w:rsidP="00C72AF3">
            <w:pPr>
              <w:spacing w:before="100" w:beforeAutospacing="1" w:after="120" w:line="276" w:lineRule="auto"/>
              <w:rPr>
                <w:rFonts w:cs="Times New Roman"/>
                <w:color w:val="000000"/>
                <w:lang w:eastAsia="en-AU"/>
              </w:rPr>
            </w:pPr>
          </w:p>
          <w:p w14:paraId="6BC17026" w14:textId="62FD398F" w:rsidR="007D5F16" w:rsidRPr="00323620" w:rsidRDefault="007D5F16" w:rsidP="00C72AF3">
            <w:pPr>
              <w:spacing w:before="100" w:beforeAutospacing="1" w:after="120" w:line="276" w:lineRule="auto"/>
              <w:rPr>
                <w:b/>
              </w:rPr>
            </w:pPr>
            <w:r w:rsidRPr="00323620">
              <w:rPr>
                <w:b/>
              </w:rPr>
              <w:t>Life</w:t>
            </w:r>
            <w:r>
              <w:rPr>
                <w:b/>
              </w:rPr>
              <w:t>-</w:t>
            </w:r>
            <w:r w:rsidRPr="00323620">
              <w:rPr>
                <w:b/>
              </w:rPr>
              <w:t>threatening infection or a series of serious infections following trial</w:t>
            </w:r>
            <w:r>
              <w:rPr>
                <w:b/>
              </w:rPr>
              <w:t>-</w:t>
            </w:r>
            <w:r w:rsidRPr="00323620">
              <w:rPr>
                <w:b/>
              </w:rPr>
              <w:t xml:space="preserve">off Ig therapy in patients </w:t>
            </w:r>
            <w:r w:rsidRPr="00323620">
              <w:rPr>
                <w:b/>
              </w:rPr>
              <w:lastRenderedPageBreak/>
              <w:t>with proven specific antibody deficiency</w:t>
            </w:r>
            <w:r>
              <w:rPr>
                <w:b/>
              </w:rPr>
              <w:t>.</w:t>
            </w:r>
          </w:p>
          <w:p w14:paraId="76F84289" w14:textId="6EB33499" w:rsidR="007D5F16" w:rsidRPr="009A04BB" w:rsidRDefault="007D5F16" w:rsidP="009A04BB">
            <w:pPr>
              <w:pStyle w:val="ListParagraph"/>
              <w:numPr>
                <w:ilvl w:val="0"/>
                <w:numId w:val="43"/>
              </w:numPr>
              <w:spacing w:line="276" w:lineRule="auto"/>
              <w:rPr>
                <w:rFonts w:asciiTheme="minorHAnsi" w:hAnsiTheme="minorHAnsi"/>
                <w:color w:val="000000"/>
              </w:rPr>
            </w:pPr>
            <w:r w:rsidRPr="009A04BB">
              <w:rPr>
                <w:rFonts w:asciiTheme="minorHAnsi" w:hAnsiTheme="minorHAnsi"/>
                <w:color w:val="000000"/>
              </w:rPr>
              <w:t>Patient with proven specific antibody deficiency undertaking a trial-off Ig therapy</w:t>
            </w:r>
          </w:p>
          <w:p w14:paraId="2D1D6ECB" w14:textId="77777777" w:rsidR="007D5F16" w:rsidRDefault="007D5F16" w:rsidP="00C72AF3">
            <w:pPr>
              <w:spacing w:line="276" w:lineRule="auto"/>
              <w:rPr>
                <w:rFonts w:asciiTheme="minorHAnsi" w:hAnsiTheme="minorHAnsi"/>
                <w:color w:val="000000"/>
              </w:rPr>
            </w:pPr>
          </w:p>
          <w:p w14:paraId="5D30204F" w14:textId="77777777" w:rsidR="007D5F16" w:rsidRDefault="007D5F16" w:rsidP="00C72AF3">
            <w:pPr>
              <w:spacing w:line="276" w:lineRule="auto"/>
              <w:rPr>
                <w:rFonts w:asciiTheme="minorHAnsi" w:hAnsiTheme="minorHAnsi"/>
                <w:color w:val="000000"/>
              </w:rPr>
            </w:pPr>
            <w:r w:rsidRPr="00323620">
              <w:rPr>
                <w:rFonts w:asciiTheme="minorHAnsi" w:hAnsiTheme="minorHAnsi"/>
                <w:color w:val="000000"/>
              </w:rPr>
              <w:t>AND</w:t>
            </w:r>
          </w:p>
          <w:p w14:paraId="1A546A3E" w14:textId="77777777" w:rsidR="007D5F16" w:rsidRPr="00323620" w:rsidRDefault="007D5F16" w:rsidP="00C72AF3">
            <w:pPr>
              <w:spacing w:line="276" w:lineRule="auto"/>
              <w:rPr>
                <w:rFonts w:asciiTheme="minorHAnsi" w:hAnsiTheme="minorHAnsi"/>
                <w:color w:val="000000"/>
              </w:rPr>
            </w:pPr>
          </w:p>
          <w:p w14:paraId="1E2DDB70" w14:textId="77777777" w:rsidR="00F61983" w:rsidRDefault="007D5F16" w:rsidP="009A04BB">
            <w:pPr>
              <w:pStyle w:val="ListParagraph"/>
              <w:numPr>
                <w:ilvl w:val="0"/>
                <w:numId w:val="43"/>
              </w:numPr>
              <w:spacing w:line="276" w:lineRule="auto"/>
              <w:rPr>
                <w:rFonts w:asciiTheme="minorHAnsi" w:hAnsiTheme="minorHAnsi"/>
                <w:color w:val="000000"/>
              </w:rPr>
            </w:pPr>
            <w:r w:rsidRPr="009A04BB">
              <w:rPr>
                <w:rFonts w:asciiTheme="minorHAnsi" w:hAnsiTheme="minorHAnsi"/>
                <w:color w:val="000000"/>
              </w:rPr>
              <w:t>One life-threatening bacterial infect</w:t>
            </w:r>
            <w:r w:rsidR="00F61983">
              <w:rPr>
                <w:rFonts w:asciiTheme="minorHAnsi" w:hAnsiTheme="minorHAnsi"/>
                <w:color w:val="000000"/>
              </w:rPr>
              <w:t xml:space="preserve">ion in the previous 12 months </w:t>
            </w:r>
          </w:p>
          <w:p w14:paraId="5CF160D3" w14:textId="77777777" w:rsidR="00F61983" w:rsidRDefault="00F61983" w:rsidP="00F61983">
            <w:pPr>
              <w:pStyle w:val="ListParagraph"/>
              <w:spacing w:line="276" w:lineRule="auto"/>
              <w:ind w:left="360"/>
              <w:rPr>
                <w:rFonts w:asciiTheme="minorHAnsi" w:hAnsiTheme="minorHAnsi"/>
                <w:color w:val="000000"/>
              </w:rPr>
            </w:pPr>
          </w:p>
          <w:p w14:paraId="495F3F38" w14:textId="61E302DA" w:rsidR="00F61983" w:rsidRPr="00F61983" w:rsidRDefault="00F61983" w:rsidP="00F61983">
            <w:pPr>
              <w:spacing w:line="276" w:lineRule="auto"/>
              <w:ind w:left="360"/>
              <w:rPr>
                <w:rFonts w:asciiTheme="minorHAnsi" w:hAnsiTheme="minorHAnsi"/>
                <w:color w:val="000000"/>
              </w:rPr>
            </w:pPr>
            <w:r>
              <w:rPr>
                <w:rFonts w:asciiTheme="minorHAnsi" w:hAnsiTheme="minorHAnsi"/>
                <w:color w:val="000000"/>
              </w:rPr>
              <w:t>OR</w:t>
            </w:r>
          </w:p>
          <w:p w14:paraId="337C8372" w14:textId="22C94376" w:rsidR="007D5F16" w:rsidRPr="007E7418" w:rsidRDefault="007D5F16" w:rsidP="009A04BB">
            <w:pPr>
              <w:pStyle w:val="ListParagraph"/>
              <w:numPr>
                <w:ilvl w:val="0"/>
                <w:numId w:val="43"/>
              </w:numPr>
              <w:spacing w:line="276" w:lineRule="auto"/>
              <w:rPr>
                <w:rFonts w:asciiTheme="minorHAnsi" w:hAnsiTheme="minorHAnsi"/>
                <w:color w:val="000000"/>
              </w:rPr>
            </w:pPr>
            <w:r w:rsidRPr="009A04BB">
              <w:rPr>
                <w:rFonts w:asciiTheme="minorHAnsi" w:hAnsiTheme="minorHAnsi"/>
                <w:color w:val="000000"/>
              </w:rPr>
              <w:t xml:space="preserve"> </w:t>
            </w:r>
            <w:proofErr w:type="gramStart"/>
            <w:r w:rsidRPr="009A04BB">
              <w:rPr>
                <w:rFonts w:asciiTheme="minorHAnsi" w:hAnsiTheme="minorHAnsi"/>
                <w:color w:val="000000"/>
              </w:rPr>
              <w:t>at</w:t>
            </w:r>
            <w:proofErr w:type="gramEnd"/>
            <w:r w:rsidRPr="009A04BB">
              <w:rPr>
                <w:rFonts w:asciiTheme="minorHAnsi" w:hAnsiTheme="minorHAnsi"/>
                <w:color w:val="000000"/>
              </w:rPr>
              <w:t xml:space="preserve"> least two serious infections in the last six months requiring </w:t>
            </w:r>
            <w:r w:rsidRPr="007E7418">
              <w:rPr>
                <w:rFonts w:asciiTheme="minorHAnsi" w:hAnsiTheme="minorHAnsi"/>
                <w:color w:val="000000"/>
              </w:rPr>
              <w:t xml:space="preserve">more </w:t>
            </w:r>
            <w:r w:rsidR="000A1147" w:rsidRPr="007E7418">
              <w:rPr>
                <w:rFonts w:asciiTheme="minorHAnsi" w:hAnsiTheme="minorHAnsi"/>
                <w:color w:val="000000"/>
              </w:rPr>
              <w:t>than standard courses of antibiotics (</w:t>
            </w:r>
            <w:proofErr w:type="spellStart"/>
            <w:r w:rsidR="000A1147" w:rsidRPr="007E7418">
              <w:rPr>
                <w:rFonts w:asciiTheme="minorHAnsi" w:hAnsiTheme="minorHAnsi"/>
                <w:color w:val="000000"/>
              </w:rPr>
              <w:t>eg</w:t>
            </w:r>
            <w:proofErr w:type="spellEnd"/>
            <w:r w:rsidR="000A1147" w:rsidRPr="007E7418">
              <w:rPr>
                <w:rFonts w:asciiTheme="minorHAnsi" w:hAnsiTheme="minorHAnsi"/>
                <w:color w:val="000000"/>
              </w:rPr>
              <w:t>. Hospitalisation, intravenous or prolonged antibiotic therapy).</w:t>
            </w:r>
          </w:p>
          <w:p w14:paraId="7DBC13D7" w14:textId="4F204B1C" w:rsidR="007D5F16" w:rsidRDefault="007D5F16" w:rsidP="00C72AF3">
            <w:pPr>
              <w:spacing w:before="100" w:beforeAutospacing="1" w:after="120" w:line="276" w:lineRule="auto"/>
              <w:rPr>
                <w:rFonts w:asciiTheme="minorHAnsi" w:eastAsia="Calibri" w:hAnsiTheme="minorHAnsi" w:cs="HelveticaCondensed"/>
                <w:b/>
                <w:lang w:eastAsia="en-AU"/>
              </w:rPr>
            </w:pPr>
            <w:r w:rsidRPr="0016567C">
              <w:rPr>
                <w:rFonts w:cs="Times New Roman"/>
                <w:b/>
                <w:bCs/>
                <w:lang w:eastAsia="en-AU"/>
              </w:rPr>
              <w:t xml:space="preserve">Please note: </w:t>
            </w:r>
            <w:r>
              <w:rPr>
                <w:rFonts w:cs="Times New Roman"/>
                <w:b/>
                <w:bCs/>
                <w:lang w:eastAsia="en-AU"/>
              </w:rPr>
              <w:t>a</w:t>
            </w:r>
            <w:r w:rsidRPr="0016567C">
              <w:rPr>
                <w:rFonts w:cs="Times New Roman"/>
                <w:b/>
                <w:bCs/>
                <w:lang w:eastAsia="en-AU"/>
              </w:rPr>
              <w:t xml:space="preserve"> diagnosis of bronchiectasis and/or suppurative lung disease must be consistent with</w:t>
            </w:r>
            <w:r w:rsidRPr="0016567C">
              <w:rPr>
                <w:rFonts w:cs="Times New Roman"/>
                <w:b/>
                <w:bCs/>
                <w:color w:val="808080"/>
                <w:lang w:eastAsia="en-AU"/>
              </w:rPr>
              <w:t xml:space="preserve"> </w:t>
            </w:r>
            <w:r w:rsidRPr="0016567C">
              <w:rPr>
                <w:rFonts w:asciiTheme="minorHAnsi" w:hAnsiTheme="minorHAnsi"/>
                <w:b/>
              </w:rPr>
              <w:t xml:space="preserve">position statement of the Thoracic Society of Australia and New Zealand and the Australian Lung Foundation (Chang AB et al. Med J Australia 2010; </w:t>
            </w:r>
            <w:r w:rsidRPr="0016567C">
              <w:rPr>
                <w:rFonts w:asciiTheme="minorHAnsi" w:eastAsia="Calibri" w:hAnsiTheme="minorHAnsi" w:cs="HelveticaCondensed"/>
                <w:b/>
                <w:lang w:eastAsia="en-AU"/>
              </w:rPr>
              <w:t>193:356-65).</w:t>
            </w:r>
          </w:p>
          <w:p w14:paraId="420DF5F1" w14:textId="77777777" w:rsidR="00C72AF3" w:rsidRPr="0016567C" w:rsidRDefault="00C72AF3" w:rsidP="00C72AF3">
            <w:pPr>
              <w:spacing w:before="100" w:beforeAutospacing="1" w:after="120" w:line="276" w:lineRule="auto"/>
              <w:rPr>
                <w:rFonts w:cs="Times New Roman"/>
                <w:b/>
                <w:color w:val="000000"/>
                <w:lang w:eastAsia="en-AU"/>
              </w:rPr>
            </w:pPr>
          </w:p>
          <w:p w14:paraId="715F81D2" w14:textId="24EE4E16" w:rsidR="007D5F16" w:rsidRDefault="007D5F16" w:rsidP="00C72AF3">
            <w:pPr>
              <w:spacing w:line="276" w:lineRule="auto"/>
              <w:rPr>
                <w:rFonts w:asciiTheme="minorHAnsi" w:hAnsiTheme="minorHAnsi" w:cs="Times New Roman"/>
                <w:b/>
                <w:lang w:eastAsia="en-AU"/>
              </w:rPr>
            </w:pPr>
            <w:r w:rsidRPr="000315C2">
              <w:rPr>
                <w:rFonts w:asciiTheme="minorHAnsi" w:hAnsiTheme="minorHAnsi" w:cs="Times New Roman"/>
                <w:b/>
                <w:lang w:eastAsia="en-AU"/>
              </w:rPr>
              <w:t xml:space="preserve">Patients currently receiving immunoglobulin therapy for a diagnosis of IgG subclass deficiency are eligible for continued therapy, but a diagnosis of specific antibody deficiency should be confirmed following cessation of immunoglobulin </w:t>
            </w:r>
            <w:r w:rsidRPr="000315C2">
              <w:rPr>
                <w:rFonts w:asciiTheme="minorHAnsi" w:hAnsiTheme="minorHAnsi" w:cs="Times New Roman"/>
                <w:b/>
                <w:lang w:eastAsia="en-AU"/>
              </w:rPr>
              <w:lastRenderedPageBreak/>
              <w:t>therapy.</w:t>
            </w:r>
          </w:p>
          <w:p w14:paraId="37414081" w14:textId="77777777" w:rsidR="00317F15" w:rsidRPr="00860EBE" w:rsidRDefault="00317F15" w:rsidP="00C72AF3">
            <w:pPr>
              <w:spacing w:line="276" w:lineRule="auto"/>
              <w:rPr>
                <w:rFonts w:asciiTheme="minorHAnsi" w:hAnsiTheme="minorHAnsi" w:cs="Times New Roman"/>
                <w:b/>
                <w:lang w:eastAsia="en-AU"/>
              </w:rPr>
            </w:pPr>
          </w:p>
          <w:p w14:paraId="78043A70" w14:textId="6BF5BB27" w:rsidR="007D5F16" w:rsidRPr="00323620" w:rsidRDefault="007D5F16" w:rsidP="009A04BB">
            <w:pPr>
              <w:pStyle w:val="ListParagraph"/>
              <w:numPr>
                <w:ilvl w:val="0"/>
                <w:numId w:val="43"/>
              </w:numPr>
              <w:spacing w:line="276" w:lineRule="auto"/>
            </w:pPr>
            <w:r w:rsidRPr="00323620">
              <w:t>Existing patient on IgG therapy funded under the National Blood Arrangements in Australia</w:t>
            </w:r>
          </w:p>
          <w:p w14:paraId="02162018" w14:textId="77777777" w:rsidR="007D5F16" w:rsidRPr="00323620" w:rsidRDefault="007D5F16" w:rsidP="00C72AF3">
            <w:pPr>
              <w:spacing w:before="100" w:beforeAutospacing="1" w:after="120" w:line="276" w:lineRule="auto"/>
              <w:rPr>
                <w:rFonts w:cs="Times New Roman"/>
                <w:color w:val="000000"/>
                <w:lang w:eastAsia="en-AU"/>
              </w:rPr>
            </w:pPr>
            <w:r w:rsidRPr="00323620">
              <w:rPr>
                <w:rFonts w:cs="Times New Roman"/>
                <w:color w:val="000000"/>
                <w:lang w:eastAsia="en-AU"/>
              </w:rPr>
              <w:t>AND</w:t>
            </w:r>
          </w:p>
          <w:p w14:paraId="25D9F184" w14:textId="658C3CA1" w:rsidR="007D5F16" w:rsidRPr="00323620" w:rsidRDefault="007D5F16" w:rsidP="009A04BB">
            <w:pPr>
              <w:pStyle w:val="ListParagraph"/>
              <w:numPr>
                <w:ilvl w:val="0"/>
                <w:numId w:val="43"/>
              </w:numPr>
              <w:spacing w:line="276" w:lineRule="auto"/>
            </w:pPr>
            <w:r w:rsidRPr="00323620">
              <w:t xml:space="preserve">Clinically active bronchiectasis and/or suppurative lung </w:t>
            </w:r>
            <w:r w:rsidRPr="00F61983">
              <w:t>disease proven</w:t>
            </w:r>
            <w:r>
              <w:t xml:space="preserve"> by radiology </w:t>
            </w:r>
            <w:r w:rsidRPr="00323620">
              <w:t>(</w:t>
            </w:r>
            <w:r>
              <w:t>s</w:t>
            </w:r>
            <w:r w:rsidRPr="00323620">
              <w:t>ee note)</w:t>
            </w:r>
          </w:p>
          <w:p w14:paraId="119D0F62" w14:textId="77777777" w:rsidR="007D5F16" w:rsidRPr="00323620" w:rsidRDefault="007D5F16" w:rsidP="00C72AF3">
            <w:pPr>
              <w:spacing w:before="100" w:beforeAutospacing="1" w:after="120" w:line="276" w:lineRule="auto"/>
              <w:rPr>
                <w:rFonts w:cs="Times New Roman"/>
                <w:color w:val="000000"/>
                <w:lang w:eastAsia="en-AU"/>
              </w:rPr>
            </w:pPr>
            <w:r w:rsidRPr="00323620">
              <w:rPr>
                <w:rFonts w:cs="Times New Roman"/>
                <w:color w:val="000000"/>
                <w:lang w:eastAsia="en-AU"/>
              </w:rPr>
              <w:t>AND</w:t>
            </w:r>
          </w:p>
          <w:p w14:paraId="5163ED9B" w14:textId="5CCD090D" w:rsidR="007D5F16" w:rsidRPr="009A04BB" w:rsidRDefault="007D5F16" w:rsidP="009A04BB">
            <w:pPr>
              <w:pStyle w:val="ListParagraph"/>
              <w:numPr>
                <w:ilvl w:val="0"/>
                <w:numId w:val="43"/>
              </w:numPr>
              <w:spacing w:before="100" w:beforeAutospacing="1" w:after="120" w:line="276" w:lineRule="auto"/>
              <w:rPr>
                <w:rFonts w:cs="Times New Roman"/>
                <w:color w:val="000000"/>
                <w:lang w:eastAsia="en-AU"/>
              </w:rPr>
            </w:pPr>
            <w:r w:rsidRPr="009A04BB">
              <w:rPr>
                <w:rFonts w:cs="Times New Roman"/>
                <w:color w:val="000000"/>
                <w:lang w:eastAsia="en-AU"/>
              </w:rPr>
              <w:t xml:space="preserve">The patient has had demonstrated clinical benefit over the last 12 months and has had at least 2 episodes of </w:t>
            </w:r>
            <w:r w:rsidR="00317F15" w:rsidRPr="009A04BB">
              <w:rPr>
                <w:rFonts w:cs="Times New Roman"/>
                <w:color w:val="000000"/>
                <w:lang w:eastAsia="en-AU"/>
              </w:rPr>
              <w:t>infection requiring antibiotics</w:t>
            </w:r>
          </w:p>
          <w:p w14:paraId="0BC0565C" w14:textId="0F2F495E" w:rsidR="007D5F16" w:rsidRDefault="007D5F16" w:rsidP="00C72AF3">
            <w:pPr>
              <w:spacing w:line="276" w:lineRule="auto"/>
              <w:rPr>
                <w:rFonts w:cs="Times New Roman"/>
                <w:color w:val="000000"/>
                <w:lang w:eastAsia="en-AU"/>
              </w:rPr>
            </w:pPr>
            <w:r w:rsidRPr="00323620">
              <w:rPr>
                <w:rFonts w:cs="Times New Roman"/>
                <w:color w:val="000000"/>
                <w:lang w:eastAsia="en-AU"/>
              </w:rPr>
              <w:t>AND</w:t>
            </w:r>
          </w:p>
          <w:p w14:paraId="241E5C30" w14:textId="77777777" w:rsidR="007D5F16" w:rsidRPr="00323620" w:rsidRDefault="007D5F16" w:rsidP="00C72AF3">
            <w:pPr>
              <w:spacing w:line="276" w:lineRule="auto"/>
              <w:rPr>
                <w:rFonts w:cs="Times New Roman"/>
                <w:color w:val="000000"/>
                <w:lang w:eastAsia="en-AU"/>
              </w:rPr>
            </w:pPr>
          </w:p>
          <w:p w14:paraId="61A70A1E" w14:textId="16E701EB" w:rsidR="007D5F16" w:rsidRPr="00323620" w:rsidRDefault="007D5F16" w:rsidP="009A04BB">
            <w:pPr>
              <w:pStyle w:val="ListParagraph"/>
              <w:numPr>
                <w:ilvl w:val="0"/>
                <w:numId w:val="43"/>
              </w:numPr>
              <w:spacing w:line="276" w:lineRule="auto"/>
            </w:pPr>
            <w:r w:rsidRPr="009A04BB">
              <w:rPr>
                <w:rFonts w:cs="Times New Roman"/>
                <w:color w:val="000000"/>
                <w:lang w:eastAsia="en-AU"/>
              </w:rPr>
              <w:t>A trial cessation of therapy will be undertaken next September or October to undertake an immunological evaluation, unless a trial period of cessation of immunoglobulin therapy for the purpose of immunological evaluation is medically contraindicated on safety grounds (e.g. n</w:t>
            </w:r>
            <w:r w:rsidRPr="00323620">
              <w:t xml:space="preserve">eutropenia, or other </w:t>
            </w:r>
            <w:r>
              <w:t>cytopenia, i</w:t>
            </w:r>
            <w:r w:rsidRPr="00323620">
              <w:t>mmunosuppressant medications</w:t>
            </w:r>
            <w:r>
              <w:t xml:space="preserve"> or c</w:t>
            </w:r>
            <w:r w:rsidRPr="00323620">
              <w:t>linically active bronchiectasis and/or suppurative lung disease</w:t>
            </w:r>
            <w:r w:rsidR="00317F15">
              <w:t>)</w:t>
            </w:r>
          </w:p>
          <w:p w14:paraId="438D6AC0" w14:textId="77777777" w:rsidR="007D5F16" w:rsidRPr="00323620" w:rsidRDefault="007D5F16" w:rsidP="00C72AF3">
            <w:pPr>
              <w:spacing w:before="100" w:beforeAutospacing="1" w:after="120" w:line="276" w:lineRule="auto"/>
              <w:rPr>
                <w:rFonts w:cs="Times New Roman"/>
                <w:color w:val="000000"/>
                <w:lang w:eastAsia="en-AU"/>
              </w:rPr>
            </w:pPr>
            <w:r w:rsidRPr="00323620">
              <w:rPr>
                <w:rFonts w:cs="Times New Roman"/>
                <w:color w:val="000000"/>
                <w:lang w:eastAsia="en-AU"/>
              </w:rPr>
              <w:lastRenderedPageBreak/>
              <w:t>AND</w:t>
            </w:r>
          </w:p>
          <w:p w14:paraId="234528B6" w14:textId="24ACC959" w:rsidR="007D5F16" w:rsidRPr="009A04BB" w:rsidRDefault="007D5F16" w:rsidP="009A04BB">
            <w:pPr>
              <w:pStyle w:val="ListParagraph"/>
              <w:numPr>
                <w:ilvl w:val="0"/>
                <w:numId w:val="43"/>
              </w:numPr>
              <w:spacing w:line="276" w:lineRule="auto"/>
              <w:rPr>
                <w:rFonts w:cs="Times New Roman"/>
                <w:color w:val="000000"/>
                <w:lang w:eastAsia="en-AU"/>
              </w:rPr>
            </w:pPr>
            <w:r w:rsidRPr="009A04BB">
              <w:rPr>
                <w:rFonts w:cs="Times New Roman"/>
                <w:color w:val="000000"/>
                <w:lang w:eastAsia="en-AU"/>
              </w:rPr>
              <w:t>A review has been undertaken by a second immunologist, with written confirmation of the eligibility for ongoing Ig treatment documenting the contra-indication reason for not trialling off Ig treatment.</w:t>
            </w:r>
          </w:p>
          <w:p w14:paraId="7F35EB16" w14:textId="77777777" w:rsidR="007D5F16" w:rsidRPr="00323620" w:rsidRDefault="007D5F16" w:rsidP="00C72AF3">
            <w:pPr>
              <w:spacing w:line="276" w:lineRule="auto"/>
              <w:rPr>
                <w:rFonts w:cs="Times New Roman"/>
                <w:b/>
                <w:bCs/>
                <w:color w:val="808080"/>
                <w:lang w:eastAsia="en-AU"/>
              </w:rPr>
            </w:pPr>
          </w:p>
          <w:p w14:paraId="52889756" w14:textId="7C22F465" w:rsidR="007D5F16" w:rsidRPr="00323620" w:rsidRDefault="007D5F16" w:rsidP="00C72AF3">
            <w:pPr>
              <w:spacing w:line="276" w:lineRule="auto"/>
              <w:rPr>
                <w:rFonts w:cs="Times New Roman"/>
                <w:b/>
                <w:bCs/>
                <w:color w:val="808080"/>
                <w:lang w:eastAsia="en-AU"/>
              </w:rPr>
            </w:pPr>
            <w:r w:rsidRPr="0016567C">
              <w:rPr>
                <w:rFonts w:cs="Times New Roman"/>
                <w:b/>
                <w:bCs/>
                <w:lang w:eastAsia="en-AU"/>
              </w:rPr>
              <w:t xml:space="preserve">Please note: </w:t>
            </w:r>
            <w:r>
              <w:rPr>
                <w:rFonts w:cs="Times New Roman"/>
                <w:b/>
                <w:bCs/>
                <w:lang w:eastAsia="en-AU"/>
              </w:rPr>
              <w:t>a</w:t>
            </w:r>
            <w:r w:rsidRPr="0016567C">
              <w:rPr>
                <w:rFonts w:cs="Times New Roman"/>
                <w:b/>
                <w:bCs/>
                <w:lang w:eastAsia="en-AU"/>
              </w:rPr>
              <w:t xml:space="preserve"> diagnosis of bronchiectasis and/or suppurative lung disease must be consistent with </w:t>
            </w:r>
            <w:r w:rsidRPr="0016567C">
              <w:rPr>
                <w:rFonts w:asciiTheme="minorHAnsi" w:hAnsiTheme="minorHAnsi"/>
                <w:b/>
              </w:rPr>
              <w:t>position statement of the Thoracic Society</w:t>
            </w:r>
            <w:r w:rsidRPr="00323620">
              <w:rPr>
                <w:rFonts w:asciiTheme="minorHAnsi" w:hAnsiTheme="minorHAnsi"/>
                <w:b/>
              </w:rPr>
              <w:t xml:space="preserve"> of Australia and New Zealand and the Australian Lung Foundation (Chang et al 2010</w:t>
            </w:r>
            <w:r w:rsidRPr="00723ECF">
              <w:rPr>
                <w:rFonts w:asciiTheme="minorHAnsi" w:eastAsia="Calibri" w:hAnsiTheme="minorHAnsi" w:cs="HelveticaCondensed"/>
                <w:b/>
                <w:lang w:eastAsia="en-AU"/>
              </w:rPr>
              <w:t>).</w:t>
            </w:r>
          </w:p>
          <w:p w14:paraId="5D22B141" w14:textId="77777777" w:rsidR="007D5F16" w:rsidRPr="00323620" w:rsidRDefault="007D5F16" w:rsidP="00C72AF3">
            <w:pPr>
              <w:spacing w:line="276" w:lineRule="auto"/>
              <w:rPr>
                <w:rFonts w:asciiTheme="minorHAnsi" w:hAnsiTheme="minorHAnsi"/>
              </w:rPr>
            </w:pPr>
          </w:p>
        </w:tc>
        <w:tc>
          <w:tcPr>
            <w:tcW w:w="3981" w:type="dxa"/>
            <w:gridSpan w:val="2"/>
          </w:tcPr>
          <w:p w14:paraId="16F703DA" w14:textId="77777777" w:rsidR="007D5F16" w:rsidRDefault="007D5F16" w:rsidP="00D62F40">
            <w:pPr>
              <w:keepNext/>
              <w:keepLines/>
              <w:outlineLvl w:val="5"/>
              <w:rPr>
                <w:rFonts w:asciiTheme="minorHAnsi" w:hAnsiTheme="minorHAnsi"/>
              </w:rPr>
            </w:pPr>
          </w:p>
          <w:p w14:paraId="1D5B71A1" w14:textId="77777777" w:rsidR="007D5F16" w:rsidRDefault="007D5F16" w:rsidP="00D62F40">
            <w:pPr>
              <w:keepNext/>
              <w:keepLines/>
              <w:outlineLvl w:val="5"/>
              <w:rPr>
                <w:rFonts w:asciiTheme="minorHAnsi" w:hAnsiTheme="minorHAnsi"/>
              </w:rPr>
            </w:pPr>
          </w:p>
          <w:p w14:paraId="5822E023" w14:textId="77777777" w:rsidR="007D5F16" w:rsidRDefault="007D5F16" w:rsidP="00D62F40">
            <w:pPr>
              <w:keepNext/>
              <w:keepLines/>
              <w:outlineLvl w:val="5"/>
              <w:rPr>
                <w:rFonts w:asciiTheme="minorHAnsi" w:hAnsiTheme="minorHAnsi"/>
              </w:rPr>
            </w:pPr>
          </w:p>
          <w:p w14:paraId="1558BDB4" w14:textId="77777777" w:rsidR="007D5F16" w:rsidRDefault="007D5F16" w:rsidP="00D62F40">
            <w:pPr>
              <w:keepNext/>
              <w:keepLines/>
              <w:outlineLvl w:val="5"/>
              <w:rPr>
                <w:rFonts w:asciiTheme="minorHAnsi" w:hAnsiTheme="minorHAnsi"/>
              </w:rPr>
            </w:pPr>
          </w:p>
          <w:p w14:paraId="08726EAC" w14:textId="77777777" w:rsidR="007D5F16" w:rsidRDefault="007D5F16" w:rsidP="00D62F40">
            <w:pPr>
              <w:keepNext/>
              <w:keepLines/>
              <w:outlineLvl w:val="5"/>
              <w:rPr>
                <w:rFonts w:asciiTheme="minorHAnsi" w:hAnsiTheme="minorHAnsi"/>
              </w:rPr>
            </w:pPr>
          </w:p>
          <w:p w14:paraId="290C6C84" w14:textId="4BCE0B9F" w:rsidR="007D5F16" w:rsidRPr="00323620" w:rsidRDefault="007D5F16" w:rsidP="00860EBE">
            <w:pPr>
              <w:keepNext/>
              <w:keepLines/>
              <w:outlineLvl w:val="5"/>
              <w:rPr>
                <w:rFonts w:cs="Times New Roman"/>
                <w:color w:val="000000"/>
                <w:lang w:eastAsia="en-AU"/>
              </w:rPr>
            </w:pPr>
            <w:r>
              <w:rPr>
                <w:rFonts w:asciiTheme="minorHAnsi" w:hAnsiTheme="minorHAnsi"/>
              </w:rPr>
              <w:t xml:space="preserve">Evidence items will request the </w:t>
            </w:r>
            <w:r w:rsidR="00CC466E">
              <w:rPr>
                <w:rFonts w:asciiTheme="minorHAnsi" w:hAnsiTheme="minorHAnsi"/>
              </w:rPr>
              <w:t xml:space="preserve">severity and </w:t>
            </w:r>
            <w:r>
              <w:rPr>
                <w:rFonts w:asciiTheme="minorHAnsi" w:hAnsiTheme="minorHAnsi"/>
              </w:rPr>
              <w:t>number of recurrent bacterial in</w:t>
            </w:r>
            <w:r w:rsidR="00CC466E">
              <w:rPr>
                <w:rFonts w:asciiTheme="minorHAnsi" w:hAnsiTheme="minorHAnsi"/>
              </w:rPr>
              <w:t xml:space="preserve">fections in the last 12 months </w:t>
            </w:r>
            <w:r>
              <w:rPr>
                <w:rFonts w:asciiTheme="minorHAnsi" w:hAnsiTheme="minorHAnsi"/>
              </w:rPr>
              <w:t>and record the type of vaccine challenge (</w:t>
            </w:r>
            <w:r w:rsidRPr="00860EBE">
              <w:rPr>
                <w:rFonts w:cs="Times New Roman"/>
                <w:color w:val="000000"/>
                <w:lang w:eastAsia="en-AU"/>
              </w:rPr>
              <w:t>Unconjugated pneumococcal polysaccharides</w:t>
            </w:r>
            <w:r>
              <w:rPr>
                <w:rFonts w:cs="Times New Roman"/>
                <w:color w:val="000000"/>
                <w:lang w:eastAsia="en-AU"/>
              </w:rPr>
              <w:t>, C</w:t>
            </w:r>
            <w:r w:rsidRPr="00323620">
              <w:rPr>
                <w:rFonts w:cs="Times New Roman"/>
                <w:color w:val="000000"/>
                <w:lang w:eastAsia="en-AU"/>
              </w:rPr>
              <w:t>onjugated pneumococcal polysaccharides</w:t>
            </w:r>
            <w:r>
              <w:rPr>
                <w:rFonts w:cs="Times New Roman"/>
                <w:color w:val="000000"/>
                <w:lang w:eastAsia="en-AU"/>
              </w:rPr>
              <w:t xml:space="preserve">, </w:t>
            </w:r>
            <w:r w:rsidRPr="00323620">
              <w:rPr>
                <w:rFonts w:cs="Times New Roman"/>
                <w:color w:val="000000"/>
                <w:lang w:eastAsia="en-AU"/>
              </w:rPr>
              <w:t>Tetanus toxoid</w:t>
            </w:r>
            <w:r>
              <w:rPr>
                <w:rFonts w:cs="Times New Roman"/>
                <w:color w:val="000000"/>
                <w:lang w:eastAsia="en-AU"/>
              </w:rPr>
              <w:t xml:space="preserve"> or </w:t>
            </w:r>
            <w:r w:rsidRPr="00323620">
              <w:rPr>
                <w:rFonts w:cs="Times New Roman"/>
                <w:color w:val="000000"/>
                <w:lang w:eastAsia="en-AU"/>
              </w:rPr>
              <w:t>Conjugated Hib polysaccharides</w:t>
            </w:r>
            <w:r>
              <w:rPr>
                <w:rFonts w:cs="Times New Roman"/>
                <w:color w:val="000000"/>
                <w:lang w:eastAsia="en-AU"/>
              </w:rPr>
              <w:t xml:space="preserve">) and </w:t>
            </w:r>
            <w:r w:rsidR="00CC466E">
              <w:rPr>
                <w:rFonts w:cs="Times New Roman"/>
                <w:color w:val="000000"/>
                <w:lang w:eastAsia="en-AU"/>
              </w:rPr>
              <w:t xml:space="preserve">Specific IgG response and </w:t>
            </w:r>
            <w:r>
              <w:rPr>
                <w:rFonts w:cs="Times New Roman"/>
                <w:color w:val="000000"/>
                <w:lang w:eastAsia="en-AU"/>
              </w:rPr>
              <w:t>details of prophylactic antibiotics given. (A)</w:t>
            </w:r>
          </w:p>
          <w:p w14:paraId="5CABC7FD" w14:textId="77777777" w:rsidR="007D5F16" w:rsidRDefault="007D5F16" w:rsidP="00D62F40">
            <w:pPr>
              <w:keepNext/>
              <w:keepLines/>
              <w:outlineLvl w:val="5"/>
              <w:rPr>
                <w:rFonts w:asciiTheme="minorHAnsi" w:hAnsiTheme="minorHAnsi"/>
              </w:rPr>
            </w:pPr>
          </w:p>
          <w:p w14:paraId="45240C0D" w14:textId="77777777" w:rsidR="007D5F16" w:rsidRDefault="007D5F16" w:rsidP="00D62F40">
            <w:pPr>
              <w:keepNext/>
              <w:keepLines/>
              <w:outlineLvl w:val="5"/>
              <w:rPr>
                <w:rFonts w:asciiTheme="minorHAnsi" w:hAnsiTheme="minorHAnsi"/>
              </w:rPr>
            </w:pPr>
            <w:r>
              <w:rPr>
                <w:rFonts w:asciiTheme="minorHAnsi" w:hAnsiTheme="minorHAnsi"/>
              </w:rPr>
              <w:t>The purpose of the position statement is to require that the diagnosis of bronchiectasis or suppurative lung disease has been confirmed. (A)</w:t>
            </w:r>
          </w:p>
          <w:p w14:paraId="12EF3215" w14:textId="77777777" w:rsidR="007D5F16" w:rsidRDefault="007D5F16" w:rsidP="00D62F40">
            <w:pPr>
              <w:keepNext/>
              <w:keepLines/>
              <w:outlineLvl w:val="5"/>
              <w:rPr>
                <w:rFonts w:asciiTheme="minorHAnsi" w:hAnsiTheme="minorHAnsi"/>
              </w:rPr>
            </w:pPr>
          </w:p>
          <w:p w14:paraId="7D60FD8E" w14:textId="77777777" w:rsidR="007D5F16" w:rsidRDefault="007D5F16" w:rsidP="00D62F40">
            <w:pPr>
              <w:keepNext/>
              <w:keepLines/>
              <w:outlineLvl w:val="5"/>
              <w:rPr>
                <w:rFonts w:asciiTheme="minorHAnsi" w:hAnsiTheme="minorHAnsi"/>
              </w:rPr>
            </w:pPr>
          </w:p>
          <w:p w14:paraId="0CEC3E0E" w14:textId="77777777" w:rsidR="007D5F16" w:rsidRDefault="007D5F16" w:rsidP="00D62F40">
            <w:pPr>
              <w:keepNext/>
              <w:keepLines/>
              <w:outlineLvl w:val="5"/>
              <w:rPr>
                <w:rFonts w:asciiTheme="minorHAnsi" w:hAnsiTheme="minorHAnsi"/>
              </w:rPr>
            </w:pPr>
          </w:p>
          <w:p w14:paraId="5E15502A" w14:textId="77777777" w:rsidR="007D5F16" w:rsidRDefault="007D5F16" w:rsidP="00D62F40">
            <w:pPr>
              <w:keepNext/>
              <w:keepLines/>
              <w:outlineLvl w:val="5"/>
              <w:rPr>
                <w:rFonts w:asciiTheme="minorHAnsi" w:hAnsiTheme="minorHAnsi"/>
              </w:rPr>
            </w:pPr>
          </w:p>
          <w:p w14:paraId="72B1341F" w14:textId="77777777" w:rsidR="007D5F16" w:rsidRDefault="007D5F16" w:rsidP="00D62F40">
            <w:pPr>
              <w:keepNext/>
              <w:keepLines/>
              <w:outlineLvl w:val="5"/>
              <w:rPr>
                <w:rFonts w:asciiTheme="minorHAnsi" w:hAnsiTheme="minorHAnsi"/>
              </w:rPr>
            </w:pPr>
          </w:p>
          <w:p w14:paraId="13297370" w14:textId="77777777" w:rsidR="007D5F16" w:rsidRDefault="007D5F16" w:rsidP="00D62F40">
            <w:pPr>
              <w:keepNext/>
              <w:keepLines/>
              <w:outlineLvl w:val="5"/>
              <w:rPr>
                <w:rFonts w:asciiTheme="minorHAnsi" w:hAnsiTheme="minorHAnsi"/>
              </w:rPr>
            </w:pPr>
          </w:p>
          <w:p w14:paraId="383E5200" w14:textId="77777777" w:rsidR="007D5F16" w:rsidRDefault="007D5F16" w:rsidP="00D62F40">
            <w:pPr>
              <w:keepNext/>
              <w:keepLines/>
              <w:outlineLvl w:val="5"/>
              <w:rPr>
                <w:rFonts w:asciiTheme="minorHAnsi" w:hAnsiTheme="minorHAnsi"/>
              </w:rPr>
            </w:pPr>
          </w:p>
          <w:p w14:paraId="49DC9A53" w14:textId="77777777" w:rsidR="007D5F16" w:rsidRDefault="007D5F16" w:rsidP="00D62F40">
            <w:pPr>
              <w:keepNext/>
              <w:keepLines/>
              <w:outlineLvl w:val="5"/>
              <w:rPr>
                <w:rFonts w:asciiTheme="minorHAnsi" w:hAnsiTheme="minorHAnsi"/>
              </w:rPr>
            </w:pPr>
          </w:p>
          <w:p w14:paraId="2F193134" w14:textId="77777777" w:rsidR="007D5F16" w:rsidRDefault="007D5F16" w:rsidP="00D62F40">
            <w:pPr>
              <w:keepNext/>
              <w:keepLines/>
              <w:outlineLvl w:val="5"/>
              <w:rPr>
                <w:rFonts w:asciiTheme="minorHAnsi" w:hAnsiTheme="minorHAnsi"/>
              </w:rPr>
            </w:pPr>
          </w:p>
          <w:p w14:paraId="74816391" w14:textId="77777777" w:rsidR="007D5F16" w:rsidRDefault="007D5F16" w:rsidP="00D62F40">
            <w:pPr>
              <w:keepNext/>
              <w:keepLines/>
              <w:outlineLvl w:val="5"/>
              <w:rPr>
                <w:rFonts w:asciiTheme="minorHAnsi" w:hAnsiTheme="minorHAnsi"/>
              </w:rPr>
            </w:pPr>
          </w:p>
          <w:p w14:paraId="4BA653A9" w14:textId="77777777" w:rsidR="00CA7908" w:rsidRDefault="00CA7908" w:rsidP="00D62F40">
            <w:pPr>
              <w:keepNext/>
              <w:keepLines/>
              <w:outlineLvl w:val="5"/>
              <w:rPr>
                <w:rFonts w:asciiTheme="minorHAnsi" w:hAnsiTheme="minorHAnsi"/>
              </w:rPr>
            </w:pPr>
          </w:p>
          <w:p w14:paraId="46E462D8" w14:textId="77777777" w:rsidR="00CA7908" w:rsidRDefault="00CA7908" w:rsidP="00D62F40">
            <w:pPr>
              <w:keepNext/>
              <w:keepLines/>
              <w:outlineLvl w:val="5"/>
              <w:rPr>
                <w:rFonts w:asciiTheme="minorHAnsi" w:hAnsiTheme="minorHAnsi"/>
              </w:rPr>
            </w:pPr>
          </w:p>
          <w:p w14:paraId="42B0DA40" w14:textId="77777777" w:rsidR="00CA7908" w:rsidRDefault="00CA7908" w:rsidP="00D62F40">
            <w:pPr>
              <w:keepNext/>
              <w:keepLines/>
              <w:outlineLvl w:val="5"/>
              <w:rPr>
                <w:rFonts w:asciiTheme="minorHAnsi" w:hAnsiTheme="minorHAnsi"/>
              </w:rPr>
            </w:pPr>
          </w:p>
          <w:p w14:paraId="15B1A4AA" w14:textId="77777777" w:rsidR="00CA7908" w:rsidRDefault="00CA7908" w:rsidP="00D62F40">
            <w:pPr>
              <w:keepNext/>
              <w:keepLines/>
              <w:outlineLvl w:val="5"/>
              <w:rPr>
                <w:rFonts w:asciiTheme="minorHAnsi" w:hAnsiTheme="minorHAnsi"/>
              </w:rPr>
            </w:pPr>
          </w:p>
          <w:p w14:paraId="5B06D84F" w14:textId="77777777" w:rsidR="00CA7908" w:rsidRDefault="00CA7908" w:rsidP="00D62F40">
            <w:pPr>
              <w:keepNext/>
              <w:keepLines/>
              <w:outlineLvl w:val="5"/>
              <w:rPr>
                <w:rFonts w:asciiTheme="minorHAnsi" w:hAnsiTheme="minorHAnsi"/>
              </w:rPr>
            </w:pPr>
          </w:p>
          <w:p w14:paraId="30A544A3" w14:textId="77777777" w:rsidR="00CA7908" w:rsidRDefault="00CA7908" w:rsidP="00D62F40">
            <w:pPr>
              <w:keepNext/>
              <w:keepLines/>
              <w:outlineLvl w:val="5"/>
              <w:rPr>
                <w:rFonts w:asciiTheme="minorHAnsi" w:hAnsiTheme="minorHAnsi"/>
              </w:rPr>
            </w:pPr>
          </w:p>
          <w:p w14:paraId="4F46F74F" w14:textId="77777777" w:rsidR="00CA7908" w:rsidRDefault="00CA7908" w:rsidP="00D62F40">
            <w:pPr>
              <w:keepNext/>
              <w:keepLines/>
              <w:outlineLvl w:val="5"/>
              <w:rPr>
                <w:rFonts w:asciiTheme="minorHAnsi" w:hAnsiTheme="minorHAnsi"/>
              </w:rPr>
            </w:pPr>
          </w:p>
          <w:p w14:paraId="708A6039" w14:textId="77777777" w:rsidR="00CA7908" w:rsidRDefault="00CA7908" w:rsidP="00D62F40">
            <w:pPr>
              <w:keepNext/>
              <w:keepLines/>
              <w:outlineLvl w:val="5"/>
              <w:rPr>
                <w:rFonts w:asciiTheme="minorHAnsi" w:hAnsiTheme="minorHAnsi"/>
              </w:rPr>
            </w:pPr>
          </w:p>
          <w:p w14:paraId="079A5256" w14:textId="77777777" w:rsidR="00CA7908" w:rsidRDefault="00CA7908" w:rsidP="00D62F40">
            <w:pPr>
              <w:keepNext/>
              <w:keepLines/>
              <w:outlineLvl w:val="5"/>
              <w:rPr>
                <w:rFonts w:asciiTheme="minorHAnsi" w:hAnsiTheme="minorHAnsi"/>
              </w:rPr>
            </w:pPr>
          </w:p>
          <w:p w14:paraId="465568CF" w14:textId="77777777" w:rsidR="00CA7908" w:rsidRDefault="00CA7908" w:rsidP="00D62F40">
            <w:pPr>
              <w:keepNext/>
              <w:keepLines/>
              <w:outlineLvl w:val="5"/>
              <w:rPr>
                <w:rFonts w:asciiTheme="minorHAnsi" w:hAnsiTheme="minorHAnsi"/>
              </w:rPr>
            </w:pPr>
          </w:p>
          <w:p w14:paraId="55A2B68C" w14:textId="77777777" w:rsidR="00CA7908" w:rsidRDefault="00CA7908" w:rsidP="00D62F40">
            <w:pPr>
              <w:keepNext/>
              <w:keepLines/>
              <w:outlineLvl w:val="5"/>
              <w:rPr>
                <w:rFonts w:asciiTheme="minorHAnsi" w:hAnsiTheme="minorHAnsi"/>
              </w:rPr>
            </w:pPr>
          </w:p>
          <w:p w14:paraId="5E420188" w14:textId="77777777" w:rsidR="00CA7908" w:rsidRDefault="00CA7908" w:rsidP="00D62F40">
            <w:pPr>
              <w:keepNext/>
              <w:keepLines/>
              <w:outlineLvl w:val="5"/>
              <w:rPr>
                <w:rFonts w:asciiTheme="minorHAnsi" w:hAnsiTheme="minorHAnsi"/>
              </w:rPr>
            </w:pPr>
          </w:p>
          <w:p w14:paraId="2541B518" w14:textId="77777777" w:rsidR="00CA7908" w:rsidRDefault="00CA7908" w:rsidP="00D62F40">
            <w:pPr>
              <w:keepNext/>
              <w:keepLines/>
              <w:outlineLvl w:val="5"/>
              <w:rPr>
                <w:rFonts w:asciiTheme="minorHAnsi" w:hAnsiTheme="minorHAnsi"/>
              </w:rPr>
            </w:pPr>
          </w:p>
          <w:p w14:paraId="64CD28C4" w14:textId="77777777" w:rsidR="00CA7908" w:rsidRDefault="00CA7908" w:rsidP="00D62F40">
            <w:pPr>
              <w:keepNext/>
              <w:keepLines/>
              <w:outlineLvl w:val="5"/>
              <w:rPr>
                <w:rFonts w:asciiTheme="minorHAnsi" w:hAnsiTheme="minorHAnsi"/>
              </w:rPr>
            </w:pPr>
          </w:p>
          <w:p w14:paraId="2DA1D93F" w14:textId="77777777" w:rsidR="00CA7908" w:rsidRDefault="00CA7908" w:rsidP="00D62F40">
            <w:pPr>
              <w:keepNext/>
              <w:keepLines/>
              <w:outlineLvl w:val="5"/>
              <w:rPr>
                <w:rFonts w:asciiTheme="minorHAnsi" w:hAnsiTheme="minorHAnsi"/>
              </w:rPr>
            </w:pPr>
          </w:p>
          <w:p w14:paraId="35180AE6" w14:textId="77777777" w:rsidR="00CA7908" w:rsidRDefault="00CA7908" w:rsidP="00D62F40">
            <w:pPr>
              <w:keepNext/>
              <w:keepLines/>
              <w:outlineLvl w:val="5"/>
              <w:rPr>
                <w:rFonts w:asciiTheme="minorHAnsi" w:hAnsiTheme="minorHAnsi"/>
              </w:rPr>
            </w:pPr>
          </w:p>
          <w:p w14:paraId="7666D831" w14:textId="77777777" w:rsidR="00CA7908" w:rsidRDefault="00CA7908" w:rsidP="00D62F40">
            <w:pPr>
              <w:keepNext/>
              <w:keepLines/>
              <w:outlineLvl w:val="5"/>
              <w:rPr>
                <w:rFonts w:asciiTheme="minorHAnsi" w:hAnsiTheme="minorHAnsi"/>
              </w:rPr>
            </w:pPr>
          </w:p>
          <w:p w14:paraId="6280CA4F" w14:textId="77777777" w:rsidR="00CA7908" w:rsidRDefault="00CA7908" w:rsidP="00D62F40">
            <w:pPr>
              <w:keepNext/>
              <w:keepLines/>
              <w:outlineLvl w:val="5"/>
              <w:rPr>
                <w:rFonts w:asciiTheme="minorHAnsi" w:hAnsiTheme="minorHAnsi"/>
              </w:rPr>
            </w:pPr>
          </w:p>
          <w:p w14:paraId="01DE11F1" w14:textId="77777777" w:rsidR="00CA7908" w:rsidRDefault="00CA7908" w:rsidP="00D62F40">
            <w:pPr>
              <w:keepNext/>
              <w:keepLines/>
              <w:outlineLvl w:val="5"/>
              <w:rPr>
                <w:rFonts w:asciiTheme="minorHAnsi" w:hAnsiTheme="minorHAnsi"/>
              </w:rPr>
            </w:pPr>
          </w:p>
          <w:p w14:paraId="3F630AD7" w14:textId="77777777" w:rsidR="00CA7908" w:rsidRDefault="00CA7908" w:rsidP="00D62F40">
            <w:pPr>
              <w:keepNext/>
              <w:keepLines/>
              <w:outlineLvl w:val="5"/>
              <w:rPr>
                <w:rFonts w:asciiTheme="minorHAnsi" w:hAnsiTheme="minorHAnsi"/>
              </w:rPr>
            </w:pPr>
          </w:p>
          <w:p w14:paraId="55A3AE1A" w14:textId="77777777" w:rsidR="00CA7908" w:rsidRDefault="00CA7908" w:rsidP="00D62F40">
            <w:pPr>
              <w:keepNext/>
              <w:keepLines/>
              <w:outlineLvl w:val="5"/>
              <w:rPr>
                <w:rFonts w:asciiTheme="minorHAnsi" w:hAnsiTheme="minorHAnsi"/>
              </w:rPr>
            </w:pPr>
          </w:p>
          <w:p w14:paraId="035AFDAE" w14:textId="77777777" w:rsidR="00CA7908" w:rsidRDefault="00CA7908" w:rsidP="00D62F40">
            <w:pPr>
              <w:keepNext/>
              <w:keepLines/>
              <w:outlineLvl w:val="5"/>
              <w:rPr>
                <w:rFonts w:asciiTheme="minorHAnsi" w:hAnsiTheme="minorHAnsi"/>
              </w:rPr>
            </w:pPr>
          </w:p>
          <w:p w14:paraId="54C2B4B5" w14:textId="77777777" w:rsidR="00CA7908" w:rsidRDefault="00CA7908" w:rsidP="00D62F40">
            <w:pPr>
              <w:keepNext/>
              <w:keepLines/>
              <w:outlineLvl w:val="5"/>
              <w:rPr>
                <w:rFonts w:asciiTheme="minorHAnsi" w:hAnsiTheme="minorHAnsi"/>
              </w:rPr>
            </w:pPr>
          </w:p>
          <w:p w14:paraId="4C9B5BF2" w14:textId="77777777" w:rsidR="00CA7908" w:rsidRDefault="00CA7908" w:rsidP="00D62F40">
            <w:pPr>
              <w:keepNext/>
              <w:keepLines/>
              <w:outlineLvl w:val="5"/>
              <w:rPr>
                <w:rFonts w:asciiTheme="minorHAnsi" w:hAnsiTheme="minorHAnsi"/>
              </w:rPr>
            </w:pPr>
          </w:p>
          <w:p w14:paraId="7F2324BB" w14:textId="77777777" w:rsidR="00CA7908" w:rsidRDefault="00CA7908" w:rsidP="00D62F40">
            <w:pPr>
              <w:keepNext/>
              <w:keepLines/>
              <w:outlineLvl w:val="5"/>
              <w:rPr>
                <w:rFonts w:asciiTheme="minorHAnsi" w:hAnsiTheme="minorHAnsi"/>
              </w:rPr>
            </w:pPr>
          </w:p>
          <w:p w14:paraId="024527A1" w14:textId="77777777" w:rsidR="00CA7908" w:rsidRDefault="00CA7908" w:rsidP="00D62F40">
            <w:pPr>
              <w:keepNext/>
              <w:keepLines/>
              <w:outlineLvl w:val="5"/>
              <w:rPr>
                <w:rFonts w:asciiTheme="minorHAnsi" w:hAnsiTheme="minorHAnsi"/>
              </w:rPr>
            </w:pPr>
          </w:p>
          <w:p w14:paraId="320DEB2F" w14:textId="77777777" w:rsidR="00CA7908" w:rsidRDefault="00CA7908" w:rsidP="00D62F40">
            <w:pPr>
              <w:keepNext/>
              <w:keepLines/>
              <w:outlineLvl w:val="5"/>
              <w:rPr>
                <w:rFonts w:asciiTheme="minorHAnsi" w:hAnsiTheme="minorHAnsi"/>
              </w:rPr>
            </w:pPr>
          </w:p>
          <w:p w14:paraId="5B043D8C" w14:textId="77777777" w:rsidR="00CA7908" w:rsidRDefault="00CA7908" w:rsidP="00D62F40">
            <w:pPr>
              <w:keepNext/>
              <w:keepLines/>
              <w:outlineLvl w:val="5"/>
              <w:rPr>
                <w:rFonts w:asciiTheme="minorHAnsi" w:hAnsiTheme="minorHAnsi"/>
              </w:rPr>
            </w:pPr>
          </w:p>
          <w:p w14:paraId="4CB9FBAD" w14:textId="77777777" w:rsidR="00CA7908" w:rsidRDefault="00CA7908" w:rsidP="00D62F40">
            <w:pPr>
              <w:keepNext/>
              <w:keepLines/>
              <w:outlineLvl w:val="5"/>
              <w:rPr>
                <w:rFonts w:asciiTheme="minorHAnsi" w:hAnsiTheme="minorHAnsi"/>
              </w:rPr>
            </w:pPr>
          </w:p>
          <w:p w14:paraId="15F8F132" w14:textId="77777777" w:rsidR="00CA7908" w:rsidRDefault="00CA7908" w:rsidP="00D62F40">
            <w:pPr>
              <w:keepNext/>
              <w:keepLines/>
              <w:outlineLvl w:val="5"/>
              <w:rPr>
                <w:rFonts w:asciiTheme="minorHAnsi" w:hAnsiTheme="minorHAnsi"/>
              </w:rPr>
            </w:pPr>
          </w:p>
          <w:p w14:paraId="0A49BA5F" w14:textId="77777777" w:rsidR="00CA7908" w:rsidRDefault="00CA7908" w:rsidP="00D62F40">
            <w:pPr>
              <w:keepNext/>
              <w:keepLines/>
              <w:outlineLvl w:val="5"/>
              <w:rPr>
                <w:rFonts w:asciiTheme="minorHAnsi" w:hAnsiTheme="minorHAnsi"/>
              </w:rPr>
            </w:pPr>
          </w:p>
          <w:p w14:paraId="497F929F" w14:textId="77777777" w:rsidR="00CA7908" w:rsidRDefault="00CA7908" w:rsidP="00D62F40">
            <w:pPr>
              <w:keepNext/>
              <w:keepLines/>
              <w:outlineLvl w:val="5"/>
              <w:rPr>
                <w:rFonts w:asciiTheme="minorHAnsi" w:hAnsiTheme="minorHAnsi"/>
              </w:rPr>
            </w:pPr>
          </w:p>
          <w:p w14:paraId="3E28BBDF" w14:textId="77777777" w:rsidR="00CA7908" w:rsidRDefault="00CA7908" w:rsidP="00D62F40">
            <w:pPr>
              <w:keepNext/>
              <w:keepLines/>
              <w:outlineLvl w:val="5"/>
              <w:rPr>
                <w:rFonts w:asciiTheme="minorHAnsi" w:hAnsiTheme="minorHAnsi"/>
              </w:rPr>
            </w:pPr>
          </w:p>
          <w:p w14:paraId="3BBC393F" w14:textId="77777777" w:rsidR="00CA7908" w:rsidRDefault="00CA7908" w:rsidP="00D62F40">
            <w:pPr>
              <w:keepNext/>
              <w:keepLines/>
              <w:outlineLvl w:val="5"/>
              <w:rPr>
                <w:rFonts w:asciiTheme="minorHAnsi" w:hAnsiTheme="minorHAnsi"/>
              </w:rPr>
            </w:pPr>
          </w:p>
          <w:p w14:paraId="3EECFA8E" w14:textId="77777777" w:rsidR="00CA7908" w:rsidRDefault="00CA7908" w:rsidP="00D62F40">
            <w:pPr>
              <w:keepNext/>
              <w:keepLines/>
              <w:outlineLvl w:val="5"/>
              <w:rPr>
                <w:rFonts w:asciiTheme="minorHAnsi" w:hAnsiTheme="minorHAnsi"/>
              </w:rPr>
            </w:pPr>
          </w:p>
          <w:p w14:paraId="2454FD2B" w14:textId="77777777" w:rsidR="00CA7908" w:rsidRDefault="00CA7908" w:rsidP="00D62F40">
            <w:pPr>
              <w:keepNext/>
              <w:keepLines/>
              <w:outlineLvl w:val="5"/>
              <w:rPr>
                <w:rFonts w:asciiTheme="minorHAnsi" w:hAnsiTheme="minorHAnsi"/>
              </w:rPr>
            </w:pPr>
          </w:p>
          <w:p w14:paraId="6B811D74" w14:textId="77777777" w:rsidR="00CA7908" w:rsidRDefault="00CA7908" w:rsidP="00D62F40">
            <w:pPr>
              <w:keepNext/>
              <w:keepLines/>
              <w:outlineLvl w:val="5"/>
              <w:rPr>
                <w:rFonts w:asciiTheme="minorHAnsi" w:hAnsiTheme="minorHAnsi"/>
              </w:rPr>
            </w:pPr>
          </w:p>
          <w:p w14:paraId="5353EC3E" w14:textId="77777777" w:rsidR="00CA7908" w:rsidRDefault="00CA7908" w:rsidP="00D62F40">
            <w:pPr>
              <w:keepNext/>
              <w:keepLines/>
              <w:outlineLvl w:val="5"/>
              <w:rPr>
                <w:rFonts w:asciiTheme="minorHAnsi" w:hAnsiTheme="minorHAnsi"/>
              </w:rPr>
            </w:pPr>
          </w:p>
          <w:p w14:paraId="559ADF2A" w14:textId="77777777" w:rsidR="00CA7908" w:rsidRDefault="00CA7908" w:rsidP="00D62F40">
            <w:pPr>
              <w:keepNext/>
              <w:keepLines/>
              <w:outlineLvl w:val="5"/>
              <w:rPr>
                <w:rFonts w:asciiTheme="minorHAnsi" w:hAnsiTheme="minorHAnsi"/>
              </w:rPr>
            </w:pPr>
          </w:p>
          <w:p w14:paraId="31702387" w14:textId="77777777" w:rsidR="00CA7908" w:rsidRDefault="00CA7908" w:rsidP="00D62F40">
            <w:pPr>
              <w:keepNext/>
              <w:keepLines/>
              <w:outlineLvl w:val="5"/>
              <w:rPr>
                <w:rFonts w:asciiTheme="minorHAnsi" w:hAnsiTheme="minorHAnsi"/>
              </w:rPr>
            </w:pPr>
          </w:p>
          <w:p w14:paraId="360FC0A5" w14:textId="77777777" w:rsidR="00CA7908" w:rsidRDefault="00CA7908" w:rsidP="00D62F40">
            <w:pPr>
              <w:keepNext/>
              <w:keepLines/>
              <w:outlineLvl w:val="5"/>
              <w:rPr>
                <w:rFonts w:asciiTheme="minorHAnsi" w:hAnsiTheme="minorHAnsi"/>
              </w:rPr>
            </w:pPr>
          </w:p>
          <w:p w14:paraId="22D59D0D" w14:textId="77777777" w:rsidR="007D5F16" w:rsidRDefault="007D5F16" w:rsidP="00D62F40">
            <w:pPr>
              <w:keepNext/>
              <w:keepLines/>
              <w:outlineLvl w:val="5"/>
              <w:rPr>
                <w:rFonts w:asciiTheme="minorHAnsi" w:hAnsiTheme="minorHAnsi"/>
              </w:rPr>
            </w:pPr>
          </w:p>
          <w:p w14:paraId="77F6BA6F" w14:textId="77777777" w:rsidR="007D5F16" w:rsidRDefault="007D5F16" w:rsidP="00D62F40">
            <w:pPr>
              <w:keepNext/>
              <w:keepLines/>
              <w:outlineLvl w:val="5"/>
              <w:rPr>
                <w:rFonts w:asciiTheme="minorHAnsi" w:hAnsiTheme="minorHAnsi"/>
              </w:rPr>
            </w:pPr>
          </w:p>
          <w:p w14:paraId="4F5B35CD" w14:textId="77777777" w:rsidR="007D5F16" w:rsidRDefault="007D5F16" w:rsidP="00D62F40">
            <w:pPr>
              <w:keepNext/>
              <w:keepLines/>
              <w:outlineLvl w:val="5"/>
              <w:rPr>
                <w:rFonts w:asciiTheme="minorHAnsi" w:hAnsiTheme="minorHAnsi"/>
              </w:rPr>
            </w:pPr>
          </w:p>
          <w:p w14:paraId="792BCE83" w14:textId="77777777" w:rsidR="007D5F16" w:rsidRPr="00CE1966" w:rsidRDefault="007D5F16" w:rsidP="00D62F40">
            <w:pPr>
              <w:keepNext/>
              <w:keepLines/>
              <w:outlineLvl w:val="5"/>
              <w:rPr>
                <w:rFonts w:asciiTheme="minorHAnsi" w:hAnsiTheme="minorHAnsi"/>
              </w:rPr>
            </w:pPr>
          </w:p>
        </w:tc>
      </w:tr>
      <w:tr w:rsidR="007D5F16" w:rsidRPr="00CE1966" w14:paraId="691403D0" w14:textId="77777777" w:rsidTr="00D97E23">
        <w:trPr>
          <w:gridBefore w:val="1"/>
          <w:gridAfter w:val="1"/>
          <w:wBefore w:w="24" w:type="dxa"/>
          <w:wAfter w:w="12" w:type="dxa"/>
        </w:trPr>
        <w:tc>
          <w:tcPr>
            <w:tcW w:w="1663" w:type="dxa"/>
            <w:gridSpan w:val="2"/>
            <w:shd w:val="clear" w:color="auto" w:fill="D9D9D9" w:themeFill="background1" w:themeFillShade="D9"/>
          </w:tcPr>
          <w:p w14:paraId="178AFC34" w14:textId="60481BCC" w:rsidR="007D5F16" w:rsidRPr="00CE1966" w:rsidRDefault="007D5F16" w:rsidP="00D764F3">
            <w:pPr>
              <w:rPr>
                <w:rFonts w:asciiTheme="minorHAnsi" w:hAnsiTheme="minorHAnsi"/>
                <w:b/>
              </w:rPr>
            </w:pPr>
            <w:r w:rsidRPr="00CE1966">
              <w:rPr>
                <w:rFonts w:asciiTheme="minorHAnsi" w:hAnsiTheme="minorHAnsi"/>
              </w:rPr>
              <w:lastRenderedPageBreak/>
              <w:br w:type="page"/>
            </w:r>
            <w:r w:rsidRPr="00CE1966">
              <w:rPr>
                <w:rFonts w:asciiTheme="minorHAnsi" w:hAnsiTheme="minorHAnsi"/>
                <w:b/>
              </w:rPr>
              <w:t>Review Criteria</w:t>
            </w:r>
          </w:p>
        </w:tc>
        <w:tc>
          <w:tcPr>
            <w:tcW w:w="4408" w:type="dxa"/>
          </w:tcPr>
          <w:p w14:paraId="7B49E4D2" w14:textId="77777777" w:rsidR="007D5F16" w:rsidRDefault="007D5F16" w:rsidP="00CE1966">
            <w:pPr>
              <w:spacing w:after="225" w:line="360" w:lineRule="atLeast"/>
              <w:rPr>
                <w:rFonts w:asciiTheme="minorHAnsi" w:hAnsiTheme="minorHAnsi"/>
                <w:color w:val="000000"/>
              </w:rPr>
            </w:pPr>
          </w:p>
          <w:p w14:paraId="5CDC4645" w14:textId="77777777" w:rsidR="007D5F16" w:rsidRDefault="007D5F16" w:rsidP="00CE1966">
            <w:pPr>
              <w:spacing w:after="225" w:line="360" w:lineRule="atLeast"/>
              <w:rPr>
                <w:rFonts w:asciiTheme="minorHAnsi" w:hAnsiTheme="minorHAnsi"/>
                <w:color w:val="000000"/>
              </w:rPr>
            </w:pPr>
          </w:p>
          <w:p w14:paraId="0980BA2F" w14:textId="77777777" w:rsidR="007D5F16" w:rsidRDefault="007D5F16" w:rsidP="00CE1966">
            <w:pPr>
              <w:spacing w:after="225" w:line="360" w:lineRule="atLeast"/>
              <w:rPr>
                <w:rFonts w:asciiTheme="minorHAnsi" w:hAnsiTheme="minorHAnsi"/>
                <w:color w:val="000000"/>
              </w:rPr>
            </w:pPr>
          </w:p>
          <w:p w14:paraId="2A734CE1" w14:textId="77777777" w:rsidR="007D5F16" w:rsidRDefault="007D5F16" w:rsidP="00CE1966">
            <w:pPr>
              <w:spacing w:after="225" w:line="360" w:lineRule="atLeast"/>
              <w:rPr>
                <w:rFonts w:asciiTheme="minorHAnsi" w:hAnsiTheme="minorHAnsi"/>
                <w:color w:val="000000"/>
              </w:rPr>
            </w:pPr>
          </w:p>
          <w:p w14:paraId="49CAB53A" w14:textId="77777777" w:rsidR="00317F15" w:rsidRDefault="00317F15" w:rsidP="00CE1966">
            <w:pPr>
              <w:spacing w:after="225" w:line="360" w:lineRule="atLeast"/>
              <w:rPr>
                <w:rFonts w:asciiTheme="minorHAnsi" w:hAnsiTheme="minorHAnsi"/>
                <w:color w:val="000000"/>
              </w:rPr>
            </w:pPr>
          </w:p>
          <w:p w14:paraId="49FA23D7" w14:textId="77777777" w:rsidR="007D5F16" w:rsidRDefault="007D5F16" w:rsidP="00CE1966">
            <w:pPr>
              <w:spacing w:after="225" w:line="360" w:lineRule="atLeast"/>
              <w:rPr>
                <w:rFonts w:asciiTheme="minorHAnsi" w:hAnsiTheme="minorHAnsi"/>
                <w:color w:val="000000"/>
              </w:rPr>
            </w:pPr>
            <w:r w:rsidRPr="00CE1966">
              <w:rPr>
                <w:rFonts w:asciiTheme="minorHAnsi" w:hAnsiTheme="minorHAnsi"/>
                <w:color w:val="000000"/>
              </w:rPr>
              <w:t>Natural history of specific antibody deficiency remains poorly defined, although antibody production will improve for many patients over time, particularly children.</w:t>
            </w:r>
          </w:p>
          <w:p w14:paraId="3695D3B3" w14:textId="77777777" w:rsidR="00130B39" w:rsidRDefault="00130B39" w:rsidP="00CE1966">
            <w:pPr>
              <w:spacing w:after="225" w:line="360" w:lineRule="atLeast"/>
              <w:rPr>
                <w:rFonts w:asciiTheme="minorHAnsi" w:hAnsiTheme="minorHAnsi"/>
                <w:color w:val="000000"/>
              </w:rPr>
            </w:pPr>
          </w:p>
          <w:p w14:paraId="2CE73812" w14:textId="77777777" w:rsidR="00130B39" w:rsidRDefault="00130B39" w:rsidP="00CE1966">
            <w:pPr>
              <w:spacing w:after="225" w:line="360" w:lineRule="atLeast"/>
              <w:rPr>
                <w:rFonts w:asciiTheme="minorHAnsi" w:hAnsiTheme="minorHAnsi"/>
                <w:color w:val="000000"/>
              </w:rPr>
            </w:pPr>
          </w:p>
          <w:p w14:paraId="3D5ECD4D" w14:textId="77777777" w:rsidR="00130B39" w:rsidRDefault="00130B39" w:rsidP="00CE1966">
            <w:pPr>
              <w:spacing w:after="225" w:line="360" w:lineRule="atLeast"/>
              <w:rPr>
                <w:rFonts w:asciiTheme="minorHAnsi" w:hAnsiTheme="minorHAnsi"/>
                <w:color w:val="000000"/>
              </w:rPr>
            </w:pPr>
          </w:p>
          <w:p w14:paraId="78F6D6BD" w14:textId="77777777" w:rsidR="00130B39" w:rsidRDefault="00130B39" w:rsidP="00CE1966">
            <w:pPr>
              <w:spacing w:after="225" w:line="360" w:lineRule="atLeast"/>
              <w:rPr>
                <w:rFonts w:asciiTheme="minorHAnsi" w:hAnsiTheme="minorHAnsi"/>
                <w:color w:val="000000"/>
              </w:rPr>
            </w:pPr>
          </w:p>
          <w:p w14:paraId="309913B6" w14:textId="77777777" w:rsidR="00130B39" w:rsidRDefault="00130B39" w:rsidP="00CE1966">
            <w:pPr>
              <w:spacing w:after="225" w:line="360" w:lineRule="atLeast"/>
              <w:rPr>
                <w:rFonts w:asciiTheme="minorHAnsi" w:hAnsiTheme="minorHAnsi"/>
                <w:color w:val="000000"/>
              </w:rPr>
            </w:pPr>
          </w:p>
          <w:p w14:paraId="7B95FB1D" w14:textId="77777777" w:rsidR="00130B39" w:rsidRDefault="00130B39" w:rsidP="00CE1966">
            <w:pPr>
              <w:spacing w:after="225" w:line="360" w:lineRule="atLeast"/>
              <w:rPr>
                <w:rFonts w:asciiTheme="minorHAnsi" w:hAnsiTheme="minorHAnsi"/>
                <w:color w:val="000000"/>
              </w:rPr>
            </w:pPr>
          </w:p>
          <w:p w14:paraId="43CF8B1C" w14:textId="77777777" w:rsidR="00130B39" w:rsidRDefault="00130B39" w:rsidP="00CE1966">
            <w:pPr>
              <w:spacing w:after="225" w:line="360" w:lineRule="atLeast"/>
              <w:rPr>
                <w:rFonts w:asciiTheme="minorHAnsi" w:hAnsiTheme="minorHAnsi"/>
                <w:color w:val="000000"/>
              </w:rPr>
            </w:pPr>
          </w:p>
          <w:p w14:paraId="0C188984" w14:textId="77777777" w:rsidR="00130B39" w:rsidRDefault="00130B39" w:rsidP="00CE1966">
            <w:pPr>
              <w:spacing w:after="225" w:line="360" w:lineRule="atLeast"/>
              <w:rPr>
                <w:rFonts w:asciiTheme="minorHAnsi" w:hAnsiTheme="minorHAnsi"/>
                <w:color w:val="000000"/>
              </w:rPr>
            </w:pPr>
          </w:p>
          <w:p w14:paraId="2460465A" w14:textId="77777777" w:rsidR="00130B39" w:rsidRDefault="00130B39" w:rsidP="00CE1966">
            <w:pPr>
              <w:spacing w:after="225" w:line="360" w:lineRule="atLeast"/>
              <w:rPr>
                <w:rFonts w:asciiTheme="minorHAnsi" w:hAnsiTheme="minorHAnsi"/>
                <w:color w:val="000000"/>
              </w:rPr>
            </w:pPr>
          </w:p>
          <w:p w14:paraId="1C77A36B" w14:textId="77777777" w:rsidR="00130B39" w:rsidRDefault="00130B39" w:rsidP="00CE1966">
            <w:pPr>
              <w:spacing w:after="225" w:line="360" w:lineRule="atLeast"/>
              <w:rPr>
                <w:rFonts w:asciiTheme="minorHAnsi" w:hAnsiTheme="minorHAnsi"/>
                <w:color w:val="000000"/>
              </w:rPr>
            </w:pPr>
          </w:p>
          <w:p w14:paraId="34C5069B" w14:textId="77777777" w:rsidR="00130B39" w:rsidRDefault="00130B39" w:rsidP="00CE1966">
            <w:pPr>
              <w:spacing w:after="225" w:line="360" w:lineRule="atLeast"/>
              <w:rPr>
                <w:rFonts w:asciiTheme="minorHAnsi" w:hAnsiTheme="minorHAnsi"/>
                <w:color w:val="000000"/>
              </w:rPr>
            </w:pPr>
          </w:p>
          <w:p w14:paraId="059B2DC5" w14:textId="77777777" w:rsidR="00130B39" w:rsidRDefault="00130B39" w:rsidP="00CE1966">
            <w:pPr>
              <w:spacing w:after="225" w:line="360" w:lineRule="atLeast"/>
              <w:rPr>
                <w:rFonts w:asciiTheme="minorHAnsi" w:hAnsiTheme="minorHAnsi"/>
                <w:color w:val="000000"/>
              </w:rPr>
            </w:pPr>
          </w:p>
          <w:p w14:paraId="2D37A0A8" w14:textId="77777777" w:rsidR="00130B39" w:rsidRDefault="00130B39" w:rsidP="00CE1966">
            <w:pPr>
              <w:spacing w:after="225" w:line="360" w:lineRule="atLeast"/>
              <w:rPr>
                <w:rFonts w:asciiTheme="minorHAnsi" w:hAnsiTheme="minorHAnsi"/>
                <w:color w:val="000000"/>
              </w:rPr>
            </w:pPr>
          </w:p>
          <w:p w14:paraId="4A1B0873" w14:textId="77777777" w:rsidR="00130B39" w:rsidRDefault="00130B39" w:rsidP="00CE1966">
            <w:pPr>
              <w:spacing w:after="225" w:line="360" w:lineRule="atLeast"/>
              <w:rPr>
                <w:rFonts w:asciiTheme="minorHAnsi" w:hAnsiTheme="minorHAnsi"/>
                <w:color w:val="000000"/>
              </w:rPr>
            </w:pPr>
          </w:p>
          <w:p w14:paraId="0A1FFF32" w14:textId="77777777" w:rsidR="00130B39" w:rsidRDefault="00130B39" w:rsidP="00CE1966">
            <w:pPr>
              <w:spacing w:after="225" w:line="360" w:lineRule="atLeast"/>
              <w:rPr>
                <w:rFonts w:asciiTheme="minorHAnsi" w:hAnsiTheme="minorHAnsi"/>
                <w:color w:val="000000"/>
              </w:rPr>
            </w:pPr>
          </w:p>
          <w:p w14:paraId="1C3DDDDA" w14:textId="77777777" w:rsidR="007D5F16" w:rsidRPr="00CE1966" w:rsidRDefault="007D5F16" w:rsidP="00CE1966">
            <w:pPr>
              <w:spacing w:after="225" w:line="360" w:lineRule="atLeast"/>
              <w:rPr>
                <w:rFonts w:asciiTheme="minorHAnsi" w:hAnsiTheme="minorHAnsi"/>
                <w:color w:val="000000"/>
              </w:rPr>
            </w:pPr>
            <w:r w:rsidRPr="00CE1966">
              <w:rPr>
                <w:rFonts w:asciiTheme="minorHAnsi" w:hAnsiTheme="minorHAnsi"/>
                <w:color w:val="000000"/>
              </w:rPr>
              <w:lastRenderedPageBreak/>
              <w:t>To be eligible to receive IVIg for a further 12 months, the following is required:</w:t>
            </w:r>
          </w:p>
          <w:p w14:paraId="0C74B982" w14:textId="77777777" w:rsidR="007D5F16" w:rsidRPr="00CE1966" w:rsidRDefault="007D5F16" w:rsidP="00CE1966">
            <w:pPr>
              <w:spacing w:after="225" w:line="360" w:lineRule="atLeast"/>
              <w:rPr>
                <w:rFonts w:asciiTheme="minorHAnsi" w:hAnsiTheme="minorHAnsi"/>
                <w:color w:val="000000"/>
              </w:rPr>
            </w:pPr>
            <w:r w:rsidRPr="00CE1966">
              <w:rPr>
                <w:rFonts w:asciiTheme="minorHAnsi" w:hAnsiTheme="minorHAnsi"/>
                <w:color w:val="000000"/>
              </w:rPr>
              <w:t>Written confirmation from the treating clinical immunologist that:</w:t>
            </w:r>
          </w:p>
          <w:p w14:paraId="74FD6460" w14:textId="77777777" w:rsidR="007D5F16" w:rsidRPr="00CE1966" w:rsidRDefault="007D5F16" w:rsidP="00860EBE">
            <w:pPr>
              <w:numPr>
                <w:ilvl w:val="0"/>
                <w:numId w:val="6"/>
              </w:numPr>
              <w:spacing w:before="100" w:beforeAutospacing="1" w:after="150" w:line="360" w:lineRule="atLeast"/>
              <w:rPr>
                <w:rFonts w:asciiTheme="minorHAnsi" w:hAnsiTheme="minorHAnsi"/>
                <w:color w:val="000000"/>
              </w:rPr>
            </w:pPr>
            <w:r w:rsidRPr="00CE1966">
              <w:rPr>
                <w:rFonts w:asciiTheme="minorHAnsi" w:hAnsiTheme="minorHAnsi"/>
                <w:color w:val="000000"/>
              </w:rPr>
              <w:t xml:space="preserve">an annual review has been undertaken; </w:t>
            </w:r>
          </w:p>
          <w:p w14:paraId="3800A0E6" w14:textId="77777777" w:rsidR="007D5F16" w:rsidRPr="00CE1966" w:rsidRDefault="007D5F16" w:rsidP="00860EBE">
            <w:pPr>
              <w:numPr>
                <w:ilvl w:val="0"/>
                <w:numId w:val="6"/>
              </w:numPr>
              <w:spacing w:before="100" w:beforeAutospacing="1" w:after="150" w:line="360" w:lineRule="atLeast"/>
              <w:rPr>
                <w:rFonts w:asciiTheme="minorHAnsi" w:hAnsiTheme="minorHAnsi"/>
                <w:color w:val="000000"/>
              </w:rPr>
            </w:pPr>
            <w:r w:rsidRPr="00CE1966">
              <w:rPr>
                <w:rFonts w:asciiTheme="minorHAnsi" w:hAnsiTheme="minorHAnsi"/>
                <w:color w:val="000000"/>
              </w:rPr>
              <w:t xml:space="preserve">the patient had demonstrated clinical benefit; </w:t>
            </w:r>
          </w:p>
          <w:p w14:paraId="0B29724C" w14:textId="77777777" w:rsidR="007D5F16" w:rsidRPr="00CE1966" w:rsidRDefault="007D5F16" w:rsidP="00860EBE">
            <w:pPr>
              <w:numPr>
                <w:ilvl w:val="0"/>
                <w:numId w:val="6"/>
              </w:numPr>
              <w:spacing w:before="100" w:beforeAutospacing="1" w:after="150" w:line="360" w:lineRule="atLeast"/>
              <w:rPr>
                <w:rFonts w:asciiTheme="minorHAnsi" w:hAnsiTheme="minorHAnsi"/>
                <w:color w:val="000000"/>
              </w:rPr>
            </w:pPr>
            <w:r w:rsidRPr="00CE1966">
              <w:rPr>
                <w:rFonts w:asciiTheme="minorHAnsi" w:hAnsiTheme="minorHAnsi"/>
                <w:color w:val="000000"/>
              </w:rPr>
              <w:t>a trial period of cessation of IVIg for the purpose of immunological evaluation is medically contraindicated on safety grounds.</w:t>
            </w:r>
          </w:p>
          <w:p w14:paraId="50127FD0" w14:textId="77777777" w:rsidR="007D5F16" w:rsidRPr="00CE1966" w:rsidRDefault="007D5F16" w:rsidP="00CE1966">
            <w:pPr>
              <w:spacing w:after="225" w:line="360" w:lineRule="atLeast"/>
              <w:rPr>
                <w:rFonts w:asciiTheme="minorHAnsi" w:hAnsiTheme="minorHAnsi"/>
                <w:color w:val="000000"/>
              </w:rPr>
            </w:pPr>
            <w:r w:rsidRPr="00CE1966">
              <w:rPr>
                <w:rFonts w:asciiTheme="minorHAnsi" w:hAnsiTheme="minorHAnsi"/>
                <w:color w:val="000000"/>
              </w:rPr>
              <w:t>Cessation of IVIg should be considered, at least after each 12 months of therapy extended as required to enable cessation of therapy in September/October.</w:t>
            </w:r>
          </w:p>
          <w:p w14:paraId="70BE1CDC" w14:textId="77777777" w:rsidR="007D5F16" w:rsidRPr="00CE1966" w:rsidRDefault="007D5F16" w:rsidP="00CE1966">
            <w:pPr>
              <w:spacing w:after="225" w:line="360" w:lineRule="atLeast"/>
              <w:rPr>
                <w:rFonts w:asciiTheme="minorHAnsi" w:hAnsiTheme="minorHAnsi"/>
                <w:color w:val="000000"/>
              </w:rPr>
            </w:pPr>
            <w:r w:rsidRPr="00CE1966">
              <w:rPr>
                <w:rFonts w:asciiTheme="minorHAnsi" w:hAnsiTheme="minorHAnsi"/>
                <w:color w:val="000000"/>
              </w:rPr>
              <w:t xml:space="preserve">This should particularly be considered in patients who do not have suppurative lung disease or </w:t>
            </w:r>
            <w:r w:rsidRPr="00CE1966">
              <w:rPr>
                <w:rStyle w:val="reference"/>
                <w:rFonts w:asciiTheme="minorHAnsi" w:hAnsiTheme="minorHAnsi"/>
                <w:color w:val="000000"/>
              </w:rPr>
              <w:t>bronchiectasis</w:t>
            </w:r>
            <w:r w:rsidRPr="00CE1966">
              <w:rPr>
                <w:rFonts w:asciiTheme="minorHAnsi" w:hAnsiTheme="minorHAnsi"/>
                <w:color w:val="000000"/>
              </w:rPr>
              <w:t xml:space="preserve">. An immunoglobulin washout period of four to six months is necessary to enable an accurate assessment. </w:t>
            </w:r>
            <w:r w:rsidRPr="00CE1966">
              <w:rPr>
                <w:rFonts w:asciiTheme="minorHAnsi" w:hAnsiTheme="minorHAnsi"/>
                <w:color w:val="000000"/>
              </w:rPr>
              <w:lastRenderedPageBreak/>
              <w:t>Prophylactic antibiotics may be considered to cover the period of IVIg cessation.</w:t>
            </w:r>
          </w:p>
          <w:p w14:paraId="48661D01" w14:textId="77777777" w:rsidR="007D5F16" w:rsidRPr="00CE1966" w:rsidRDefault="007D5F16" w:rsidP="00CE1966">
            <w:pPr>
              <w:spacing w:after="225" w:line="360" w:lineRule="atLeast"/>
              <w:rPr>
                <w:rFonts w:asciiTheme="minorHAnsi" w:hAnsiTheme="minorHAnsi"/>
                <w:color w:val="000000"/>
              </w:rPr>
            </w:pPr>
            <w:r w:rsidRPr="00CE1966">
              <w:rPr>
                <w:rFonts w:asciiTheme="minorHAnsi" w:hAnsiTheme="minorHAnsi"/>
                <w:color w:val="000000"/>
              </w:rPr>
              <w:t>Patients may qualify for further IVIg therapy:</w:t>
            </w:r>
          </w:p>
          <w:p w14:paraId="10739D96" w14:textId="77777777" w:rsidR="007D5F16" w:rsidRPr="00CE1966" w:rsidRDefault="007D5F16" w:rsidP="00860EBE">
            <w:pPr>
              <w:numPr>
                <w:ilvl w:val="0"/>
                <w:numId w:val="7"/>
              </w:numPr>
              <w:spacing w:before="100" w:beforeAutospacing="1" w:after="150" w:line="360" w:lineRule="atLeast"/>
              <w:rPr>
                <w:rFonts w:asciiTheme="minorHAnsi" w:hAnsiTheme="minorHAnsi"/>
                <w:color w:val="000000"/>
              </w:rPr>
            </w:pPr>
            <w:r w:rsidRPr="00CE1966">
              <w:rPr>
                <w:rFonts w:asciiTheme="minorHAnsi" w:hAnsiTheme="minorHAnsi"/>
                <w:color w:val="000000"/>
              </w:rPr>
              <w:t xml:space="preserve">under other immunodeficiency criteria (e.g. common variable immunodeficiency [CVID]) depending on the results of subsequent immune evaluation; or </w:t>
            </w:r>
          </w:p>
          <w:p w14:paraId="3E713E63" w14:textId="77777777" w:rsidR="007D5F16" w:rsidRPr="00CE1966" w:rsidRDefault="007D5F16" w:rsidP="00860EBE">
            <w:pPr>
              <w:numPr>
                <w:ilvl w:val="0"/>
                <w:numId w:val="7"/>
              </w:numPr>
              <w:spacing w:before="100" w:beforeAutospacing="1" w:after="150" w:line="360" w:lineRule="atLeast"/>
              <w:rPr>
                <w:rFonts w:asciiTheme="minorHAnsi" w:hAnsiTheme="minorHAnsi"/>
                <w:color w:val="000000"/>
              </w:rPr>
            </w:pPr>
            <w:r w:rsidRPr="00CE1966">
              <w:rPr>
                <w:rFonts w:asciiTheme="minorHAnsi" w:hAnsiTheme="minorHAnsi"/>
                <w:color w:val="000000"/>
              </w:rPr>
              <w:t>rarely under specific antibody deficiency following re-emergence of severe significant infection requiring hospitalisation.</w:t>
            </w:r>
          </w:p>
          <w:p w14:paraId="19732CF7" w14:textId="77777777" w:rsidR="007D5F16" w:rsidRPr="00CE1966" w:rsidRDefault="007D5F16" w:rsidP="00CE1966">
            <w:pPr>
              <w:spacing w:after="225" w:line="360" w:lineRule="atLeast"/>
              <w:rPr>
                <w:rFonts w:asciiTheme="minorHAnsi" w:hAnsiTheme="minorHAnsi"/>
                <w:color w:val="000000"/>
              </w:rPr>
            </w:pPr>
            <w:r w:rsidRPr="00CE1966">
              <w:rPr>
                <w:rFonts w:asciiTheme="minorHAnsi" w:hAnsiTheme="minorHAnsi"/>
                <w:color w:val="000000"/>
              </w:rPr>
              <w:t>In principle, IVIg should only be continued or renewed if there is a demonstrated clinical benefit.</w:t>
            </w:r>
          </w:p>
          <w:p w14:paraId="7290C0C4" w14:textId="77777777" w:rsidR="007D5F16" w:rsidRDefault="007D5F16" w:rsidP="00CE1966">
            <w:pPr>
              <w:spacing w:after="225" w:line="360" w:lineRule="atLeast"/>
              <w:rPr>
                <w:rFonts w:asciiTheme="minorHAnsi" w:hAnsiTheme="minorHAnsi"/>
                <w:color w:val="000000"/>
              </w:rPr>
            </w:pPr>
            <w:r w:rsidRPr="00CE1966">
              <w:rPr>
                <w:rFonts w:asciiTheme="minorHAnsi" w:hAnsiTheme="minorHAnsi"/>
                <w:color w:val="000000"/>
              </w:rPr>
              <w:t>Note that re-vaccination with pneumococcal polysaccharide vaccine is not recommended because of safety concerns, and the potential for specific hyporesponsiveness induced by repeated vaccination (O’Brien et al 2007).</w:t>
            </w:r>
          </w:p>
          <w:p w14:paraId="155E422D" w14:textId="77777777" w:rsidR="00CA7908" w:rsidRDefault="00CA7908" w:rsidP="00CE1966">
            <w:pPr>
              <w:spacing w:after="225" w:line="360" w:lineRule="atLeast"/>
              <w:rPr>
                <w:rFonts w:asciiTheme="minorHAnsi" w:hAnsiTheme="minorHAnsi"/>
                <w:color w:val="000000"/>
              </w:rPr>
            </w:pPr>
          </w:p>
          <w:p w14:paraId="5C1D6FB8" w14:textId="77777777" w:rsidR="00CA7908" w:rsidRDefault="00CA7908" w:rsidP="00CE1966">
            <w:pPr>
              <w:spacing w:after="225" w:line="360" w:lineRule="atLeast"/>
              <w:rPr>
                <w:rFonts w:asciiTheme="minorHAnsi" w:hAnsiTheme="minorHAnsi"/>
                <w:color w:val="000000"/>
              </w:rPr>
            </w:pPr>
          </w:p>
          <w:p w14:paraId="7053C899" w14:textId="77777777" w:rsidR="00CA7908" w:rsidRDefault="00CA7908" w:rsidP="00CE1966">
            <w:pPr>
              <w:spacing w:after="225" w:line="360" w:lineRule="atLeast"/>
              <w:rPr>
                <w:rFonts w:asciiTheme="minorHAnsi" w:hAnsiTheme="minorHAnsi"/>
                <w:color w:val="000000"/>
              </w:rPr>
            </w:pPr>
          </w:p>
          <w:p w14:paraId="59437EDB" w14:textId="77777777" w:rsidR="00CA7908" w:rsidRDefault="00CA7908" w:rsidP="00CE1966">
            <w:pPr>
              <w:spacing w:after="225" w:line="360" w:lineRule="atLeast"/>
              <w:rPr>
                <w:rFonts w:asciiTheme="minorHAnsi" w:hAnsiTheme="minorHAnsi"/>
                <w:color w:val="000000"/>
              </w:rPr>
            </w:pPr>
          </w:p>
          <w:p w14:paraId="0D667958" w14:textId="77777777" w:rsidR="00CA7908" w:rsidRDefault="00CA7908" w:rsidP="00CE1966">
            <w:pPr>
              <w:spacing w:after="225" w:line="360" w:lineRule="atLeast"/>
              <w:rPr>
                <w:rFonts w:asciiTheme="minorHAnsi" w:hAnsiTheme="minorHAnsi"/>
                <w:color w:val="000000"/>
              </w:rPr>
            </w:pPr>
          </w:p>
          <w:p w14:paraId="2F49DA05" w14:textId="77777777" w:rsidR="00CA7908" w:rsidRDefault="00CA7908" w:rsidP="00CE1966">
            <w:pPr>
              <w:spacing w:after="225" w:line="360" w:lineRule="atLeast"/>
              <w:rPr>
                <w:rFonts w:asciiTheme="minorHAnsi" w:hAnsiTheme="minorHAnsi"/>
                <w:color w:val="000000"/>
              </w:rPr>
            </w:pPr>
          </w:p>
          <w:p w14:paraId="3F3DBC5F" w14:textId="77777777" w:rsidR="00CA7908" w:rsidRDefault="00CA7908" w:rsidP="00CE1966">
            <w:pPr>
              <w:spacing w:after="225" w:line="360" w:lineRule="atLeast"/>
              <w:rPr>
                <w:rFonts w:asciiTheme="minorHAnsi" w:hAnsiTheme="minorHAnsi"/>
                <w:color w:val="000000"/>
              </w:rPr>
            </w:pPr>
          </w:p>
          <w:p w14:paraId="3E705816" w14:textId="77777777" w:rsidR="00CA7908" w:rsidRPr="00CE1966" w:rsidRDefault="00CA7908" w:rsidP="00CE1966">
            <w:pPr>
              <w:spacing w:after="225" w:line="360" w:lineRule="atLeast"/>
              <w:rPr>
                <w:rFonts w:asciiTheme="minorHAnsi" w:hAnsiTheme="minorHAnsi"/>
                <w:color w:val="000000"/>
              </w:rPr>
            </w:pPr>
          </w:p>
          <w:p w14:paraId="36401285" w14:textId="77777777" w:rsidR="007D5F16" w:rsidRPr="00C72AF3" w:rsidRDefault="003505E4" w:rsidP="00CE1966">
            <w:pPr>
              <w:spacing w:line="360" w:lineRule="atLeast"/>
              <w:rPr>
                <w:rFonts w:asciiTheme="minorHAnsi" w:hAnsiTheme="minorHAnsi"/>
                <w:color w:val="000000"/>
                <w:u w:val="single"/>
              </w:rPr>
            </w:pPr>
            <w:hyperlink r:id="rId14" w:anchor="cdn-02-sub" w:history="1">
              <w:r w:rsidR="007D5F16" w:rsidRPr="00C72AF3">
                <w:rPr>
                  <w:rStyle w:val="Hyperlink"/>
                  <w:rFonts w:asciiTheme="minorHAnsi" w:hAnsiTheme="minorHAnsi"/>
                  <w:b/>
                  <w:bCs/>
                </w:rPr>
                <w:t>IgG subclass deficiency</w:t>
              </w:r>
            </w:hyperlink>
            <w:r w:rsidR="007D5F16" w:rsidRPr="00C72AF3">
              <w:rPr>
                <w:rFonts w:asciiTheme="minorHAnsi" w:hAnsiTheme="minorHAnsi"/>
                <w:color w:val="000000"/>
                <w:u w:val="single"/>
              </w:rPr>
              <w:t xml:space="preserve"> </w:t>
            </w:r>
          </w:p>
          <w:p w14:paraId="77AF9FA5" w14:textId="77777777" w:rsidR="007D5F16" w:rsidRPr="00CE1966" w:rsidRDefault="007D5F16" w:rsidP="00130B39">
            <w:pPr>
              <w:spacing w:before="100" w:beforeAutospacing="1" w:after="150" w:line="360" w:lineRule="atLeast"/>
              <w:rPr>
                <w:rFonts w:asciiTheme="minorHAnsi" w:hAnsiTheme="minorHAnsi"/>
                <w:color w:val="000000"/>
              </w:rPr>
            </w:pPr>
            <w:r w:rsidRPr="00CE1966">
              <w:rPr>
                <w:rStyle w:val="Emphasis"/>
                <w:rFonts w:asciiTheme="minorHAnsi" w:hAnsiTheme="minorHAnsi"/>
                <w:color w:val="000000"/>
                <w:u w:val="single"/>
              </w:rPr>
              <w:t>Patients who were receiving IVIg for IgG subclass deficiency before initial publication of the Criteria (December 2007)</w:t>
            </w:r>
          </w:p>
          <w:p w14:paraId="5917C1BE" w14:textId="77777777" w:rsidR="007D5F16" w:rsidRPr="00CE1966" w:rsidRDefault="007D5F16" w:rsidP="00860EBE">
            <w:pPr>
              <w:numPr>
                <w:ilvl w:val="0"/>
                <w:numId w:val="11"/>
              </w:numPr>
              <w:spacing w:before="100" w:beforeAutospacing="1" w:after="150" w:line="360" w:lineRule="atLeast"/>
              <w:rPr>
                <w:rFonts w:asciiTheme="minorHAnsi" w:hAnsiTheme="minorHAnsi"/>
                <w:color w:val="000000"/>
              </w:rPr>
            </w:pPr>
            <w:r w:rsidRPr="00CE1966">
              <w:rPr>
                <w:rFonts w:asciiTheme="minorHAnsi" w:hAnsiTheme="minorHAnsi"/>
                <w:color w:val="000000"/>
              </w:rPr>
              <w:t>With clinically active bronchiectasis or suppurative lung disease over the previous 12 months: To be eligible to receive IVIg for a further 12 months, the following is required:</w:t>
            </w:r>
          </w:p>
          <w:p w14:paraId="7F706A50" w14:textId="77777777" w:rsidR="007D5F16" w:rsidRPr="00CE1966" w:rsidRDefault="007D5F16" w:rsidP="00860EBE">
            <w:pPr>
              <w:numPr>
                <w:ilvl w:val="0"/>
                <w:numId w:val="12"/>
              </w:numPr>
              <w:spacing w:before="100" w:beforeAutospacing="1" w:after="150" w:line="360" w:lineRule="atLeast"/>
              <w:rPr>
                <w:rFonts w:asciiTheme="minorHAnsi" w:hAnsiTheme="minorHAnsi"/>
                <w:color w:val="000000"/>
              </w:rPr>
            </w:pPr>
            <w:r w:rsidRPr="00CE1966">
              <w:rPr>
                <w:rFonts w:asciiTheme="minorHAnsi" w:hAnsiTheme="minorHAnsi"/>
                <w:color w:val="000000"/>
              </w:rPr>
              <w:t>Written confirmation from the treating clinical immunologist that :</w:t>
            </w:r>
          </w:p>
          <w:p w14:paraId="16AB8C88" w14:textId="77777777" w:rsidR="007D5F16" w:rsidRPr="00CE1966" w:rsidRDefault="007D5F16" w:rsidP="00860EBE">
            <w:pPr>
              <w:numPr>
                <w:ilvl w:val="0"/>
                <w:numId w:val="13"/>
              </w:numPr>
              <w:spacing w:before="100" w:beforeAutospacing="1" w:after="150" w:line="360" w:lineRule="atLeast"/>
              <w:rPr>
                <w:rFonts w:asciiTheme="minorHAnsi" w:hAnsiTheme="minorHAnsi"/>
                <w:color w:val="000000"/>
              </w:rPr>
            </w:pPr>
            <w:r w:rsidRPr="00CE1966">
              <w:rPr>
                <w:rFonts w:asciiTheme="minorHAnsi" w:hAnsiTheme="minorHAnsi"/>
                <w:color w:val="000000"/>
              </w:rPr>
              <w:lastRenderedPageBreak/>
              <w:t xml:space="preserve">an annual review has been undertaken; </w:t>
            </w:r>
          </w:p>
          <w:p w14:paraId="4E3AEE7C" w14:textId="77777777" w:rsidR="007D5F16" w:rsidRPr="00CE1966" w:rsidRDefault="007D5F16" w:rsidP="00860EBE">
            <w:pPr>
              <w:numPr>
                <w:ilvl w:val="0"/>
                <w:numId w:val="13"/>
              </w:numPr>
              <w:spacing w:before="100" w:beforeAutospacing="1" w:after="150" w:line="360" w:lineRule="atLeast"/>
              <w:rPr>
                <w:rFonts w:asciiTheme="minorHAnsi" w:hAnsiTheme="minorHAnsi"/>
                <w:color w:val="000000"/>
              </w:rPr>
            </w:pPr>
            <w:r w:rsidRPr="00CE1966">
              <w:rPr>
                <w:rFonts w:asciiTheme="minorHAnsi" w:hAnsiTheme="minorHAnsi"/>
                <w:color w:val="000000"/>
              </w:rPr>
              <w:t xml:space="preserve">the patient has demonstrated clinical benefit; and </w:t>
            </w:r>
          </w:p>
          <w:p w14:paraId="45DBE3E9" w14:textId="77777777" w:rsidR="007D5F16" w:rsidRPr="00CE1966" w:rsidRDefault="007D5F16" w:rsidP="00860EBE">
            <w:pPr>
              <w:numPr>
                <w:ilvl w:val="0"/>
                <w:numId w:val="13"/>
              </w:numPr>
              <w:spacing w:before="100" w:beforeAutospacing="1" w:after="150" w:line="360" w:lineRule="atLeast"/>
              <w:rPr>
                <w:rFonts w:asciiTheme="minorHAnsi" w:hAnsiTheme="minorHAnsi"/>
                <w:color w:val="000000"/>
              </w:rPr>
            </w:pPr>
            <w:r w:rsidRPr="00CE1966">
              <w:rPr>
                <w:rFonts w:asciiTheme="minorHAnsi" w:hAnsiTheme="minorHAnsi"/>
                <w:color w:val="000000"/>
              </w:rPr>
              <w:t>a trial period of cessation of IVIg for the purpose of immunological evaluation is medically contraindicated on safety grounds.</w:t>
            </w:r>
          </w:p>
          <w:p w14:paraId="1FC34BD2" w14:textId="77777777" w:rsidR="007D5F16" w:rsidRPr="00CE1966" w:rsidRDefault="007D5F16" w:rsidP="00CE1966">
            <w:pPr>
              <w:spacing w:after="225" w:line="360" w:lineRule="atLeast"/>
              <w:rPr>
                <w:rFonts w:asciiTheme="minorHAnsi" w:hAnsiTheme="minorHAnsi"/>
                <w:color w:val="000000"/>
              </w:rPr>
            </w:pPr>
            <w:r w:rsidRPr="00CE1966">
              <w:rPr>
                <w:rFonts w:asciiTheme="minorHAnsi" w:hAnsiTheme="minorHAnsi"/>
                <w:color w:val="000000"/>
              </w:rPr>
              <w:t>AND</w:t>
            </w:r>
          </w:p>
          <w:p w14:paraId="22407987" w14:textId="77777777" w:rsidR="007D5F16" w:rsidRPr="00CE1966" w:rsidRDefault="007D5F16" w:rsidP="00860EBE">
            <w:pPr>
              <w:numPr>
                <w:ilvl w:val="0"/>
                <w:numId w:val="14"/>
              </w:numPr>
              <w:spacing w:before="100" w:beforeAutospacing="1" w:after="150" w:line="360" w:lineRule="atLeast"/>
              <w:rPr>
                <w:rFonts w:asciiTheme="minorHAnsi" w:hAnsiTheme="minorHAnsi"/>
                <w:color w:val="000000"/>
              </w:rPr>
            </w:pPr>
            <w:r w:rsidRPr="00CE1966">
              <w:rPr>
                <w:rFonts w:asciiTheme="minorHAnsi" w:hAnsiTheme="minorHAnsi"/>
                <w:color w:val="000000"/>
              </w:rPr>
              <w:t>Written confirmation by a second physician that cessation of IVIg for the purpose of immunological evaluation is medically contraindicated on safety grounds.</w:t>
            </w:r>
          </w:p>
          <w:p w14:paraId="1E82F966" w14:textId="77777777" w:rsidR="007D5F16" w:rsidRPr="00CE1966" w:rsidRDefault="007D5F16" w:rsidP="00CE1966">
            <w:pPr>
              <w:spacing w:after="225" w:line="360" w:lineRule="atLeast"/>
              <w:rPr>
                <w:rFonts w:asciiTheme="minorHAnsi" w:hAnsiTheme="minorHAnsi"/>
                <w:color w:val="000000"/>
              </w:rPr>
            </w:pPr>
            <w:r w:rsidRPr="00CE1966">
              <w:rPr>
                <w:rFonts w:asciiTheme="minorHAnsi" w:hAnsiTheme="minorHAnsi"/>
                <w:color w:val="000000"/>
              </w:rPr>
              <w:t>Cessation of IVIg should be considered, at least after each 12 months of therapy extended as required to enable cessation of therapy in September/October.</w:t>
            </w:r>
          </w:p>
          <w:p w14:paraId="21A6913A" w14:textId="77777777" w:rsidR="007D5F16" w:rsidRPr="00CE1966" w:rsidRDefault="007D5F16" w:rsidP="00CE1966">
            <w:pPr>
              <w:spacing w:after="225" w:line="360" w:lineRule="atLeast"/>
              <w:rPr>
                <w:rFonts w:asciiTheme="minorHAnsi" w:hAnsiTheme="minorHAnsi"/>
                <w:color w:val="000000"/>
              </w:rPr>
            </w:pPr>
            <w:r w:rsidRPr="00CE1966">
              <w:rPr>
                <w:rStyle w:val="Strong"/>
                <w:rFonts w:asciiTheme="minorHAnsi" w:hAnsiTheme="minorHAnsi"/>
                <w:color w:val="000000"/>
              </w:rPr>
              <w:t xml:space="preserve">NOTE: </w:t>
            </w:r>
            <w:r w:rsidRPr="00CE1966">
              <w:rPr>
                <w:rFonts w:asciiTheme="minorHAnsi" w:hAnsiTheme="minorHAnsi"/>
                <w:color w:val="000000"/>
              </w:rPr>
              <w:t xml:space="preserve">The above criteria for initial and ongoing access to IVIg funded by all governments under the National Blood </w:t>
            </w:r>
            <w:r w:rsidRPr="00CE1966">
              <w:rPr>
                <w:rFonts w:asciiTheme="minorHAnsi" w:hAnsiTheme="minorHAnsi"/>
                <w:color w:val="000000"/>
              </w:rPr>
              <w:lastRenderedPageBreak/>
              <w:t>Arrangements will be reviewed in light of emerging evidence at the next review of the Criteria.</w:t>
            </w:r>
          </w:p>
          <w:p w14:paraId="0E1E2960" w14:textId="77777777" w:rsidR="007D5F16" w:rsidRPr="00CE1966" w:rsidRDefault="007D5F16" w:rsidP="00CE1966">
            <w:pPr>
              <w:spacing w:before="100" w:beforeAutospacing="1" w:after="100" w:afterAutospacing="1"/>
              <w:jc w:val="center"/>
              <w:rPr>
                <w:rFonts w:asciiTheme="minorHAnsi" w:eastAsia="Times New Roman" w:hAnsiTheme="minorHAnsi" w:cs="Times New Roman"/>
                <w:color w:val="000000"/>
                <w:lang w:eastAsia="en-AU"/>
              </w:rPr>
            </w:pPr>
          </w:p>
        </w:tc>
        <w:tc>
          <w:tcPr>
            <w:tcW w:w="4819" w:type="dxa"/>
            <w:gridSpan w:val="3"/>
          </w:tcPr>
          <w:p w14:paraId="4941E48E" w14:textId="77777777" w:rsidR="00317F15" w:rsidRPr="0016567C" w:rsidRDefault="00317F15" w:rsidP="00317F15">
            <w:pPr>
              <w:spacing w:before="100" w:beforeAutospacing="1" w:after="120" w:line="276" w:lineRule="auto"/>
              <w:rPr>
                <w:b/>
              </w:rPr>
            </w:pPr>
            <w:r w:rsidRPr="0016567C">
              <w:rPr>
                <w:b/>
              </w:rPr>
              <w:lastRenderedPageBreak/>
              <w:t>History of abnormally frequent and/or persistent bacterial infections associated with a demonstrated failure to mount a ‘normal’ IgG antibody response to pneumococcal polysaccharides or protein antigens, such as tetanus toxoid, after vaccine challenge in a patient with a normal serum total IgG concentration.</w:t>
            </w:r>
          </w:p>
          <w:p w14:paraId="4AD09FD9" w14:textId="77777777" w:rsidR="007D5F16" w:rsidRPr="0016567C" w:rsidRDefault="007D5F16" w:rsidP="00C72AF3">
            <w:pPr>
              <w:spacing w:line="276" w:lineRule="auto"/>
              <w:rPr>
                <w:b/>
              </w:rPr>
            </w:pPr>
          </w:p>
          <w:p w14:paraId="1BC569A6" w14:textId="77777777" w:rsidR="007D5F16" w:rsidRPr="0016567C" w:rsidRDefault="007D5F16" w:rsidP="00C72AF3">
            <w:pPr>
              <w:spacing w:line="276" w:lineRule="auto"/>
            </w:pPr>
            <w:r w:rsidRPr="0016567C">
              <w:t>Natural history of specific antibody deficiency remains poorly defined, although antibody production will improve for many patients over time, particularly children.</w:t>
            </w:r>
          </w:p>
          <w:p w14:paraId="7F72C930" w14:textId="631C6B20" w:rsidR="007D5F16" w:rsidRPr="0016567C" w:rsidRDefault="009A04BB" w:rsidP="00C72AF3">
            <w:pPr>
              <w:spacing w:line="276" w:lineRule="auto"/>
            </w:pPr>
            <w:r>
              <w:t xml:space="preserve">Regular review </w:t>
            </w:r>
            <w:r w:rsidRPr="007E7418">
              <w:t xml:space="preserve">by a Clinical </w:t>
            </w:r>
            <w:proofErr w:type="gramStart"/>
            <w:r w:rsidRPr="007E7418">
              <w:t>I</w:t>
            </w:r>
            <w:r w:rsidR="007D5F16" w:rsidRPr="007E7418">
              <w:t xml:space="preserve">mmunologist </w:t>
            </w:r>
            <w:r w:rsidRPr="007E7418">
              <w:t xml:space="preserve"> or</w:t>
            </w:r>
            <w:proofErr w:type="gramEnd"/>
            <w:r w:rsidRPr="007E7418">
              <w:t xml:space="preserve"> </w:t>
            </w:r>
            <w:r w:rsidRPr="007E7418">
              <w:lastRenderedPageBreak/>
              <w:t>Respiratory P</w:t>
            </w:r>
            <w:r w:rsidR="00F03CA8" w:rsidRPr="007E7418">
              <w:t xml:space="preserve">hysician </w:t>
            </w:r>
            <w:r w:rsidR="007D5F16" w:rsidRPr="007E7418">
              <w:t xml:space="preserve">is required, at least annually. </w:t>
            </w:r>
            <w:r w:rsidR="00D97E23" w:rsidRPr="007E7418">
              <w:t>Documentation of clinical effectiveness is necessary for continuation of Ig therapy.</w:t>
            </w:r>
            <w:r w:rsidR="00D97E23" w:rsidRPr="007E7418">
              <w:rPr>
                <w:sz w:val="18"/>
              </w:rPr>
              <w:t xml:space="preserve"> </w:t>
            </w:r>
            <w:r w:rsidR="007D5F16" w:rsidRPr="007E7418">
              <w:t>Cessation of immunoglobulin therapy should be consi</w:t>
            </w:r>
            <w:r w:rsidR="007D5F16" w:rsidRPr="0016567C">
              <w:t>dered at least after each 12 months of Ig therapy, extended as required to enable cessation of therapy in September</w:t>
            </w:r>
            <w:r w:rsidR="007D5F16">
              <w:t xml:space="preserve"> or </w:t>
            </w:r>
            <w:r w:rsidR="007D5F16" w:rsidRPr="0016567C">
              <w:t>October.</w:t>
            </w:r>
          </w:p>
          <w:p w14:paraId="719D2601" w14:textId="77777777" w:rsidR="007D5F16" w:rsidRPr="0016567C" w:rsidRDefault="007D5F16" w:rsidP="00C72AF3">
            <w:pPr>
              <w:spacing w:line="276" w:lineRule="auto"/>
            </w:pPr>
          </w:p>
          <w:p w14:paraId="34C7E009" w14:textId="6E580D0C" w:rsidR="007D5F16" w:rsidRPr="0016567C" w:rsidRDefault="007D5F16" w:rsidP="00C72AF3">
            <w:pPr>
              <w:spacing w:line="276" w:lineRule="auto"/>
            </w:pPr>
            <w:r w:rsidRPr="0016567C">
              <w:t>This should particularly be considered in patients who do not have active bronchiectasis and/or suppurative lung disease. An immunoglobulin washout period of four to six months is necessary to enable an accurate assessment. Prophylactic antibiotics may be considered to cover the period of cessation of immunoglobulin therapy.</w:t>
            </w:r>
          </w:p>
          <w:p w14:paraId="72EA93DB" w14:textId="77777777" w:rsidR="007D5F16" w:rsidRPr="0016567C" w:rsidRDefault="007D5F16" w:rsidP="00C72AF3">
            <w:pPr>
              <w:spacing w:line="276" w:lineRule="auto"/>
            </w:pPr>
          </w:p>
          <w:p w14:paraId="2C37298D" w14:textId="77777777" w:rsidR="007D5F16" w:rsidRPr="0016567C" w:rsidRDefault="007D5F16" w:rsidP="00C72AF3">
            <w:pPr>
              <w:spacing w:line="276" w:lineRule="auto"/>
            </w:pPr>
            <w:r w:rsidRPr="0016567C">
              <w:t>Patients may qualify for further immunoglobulin therapy:</w:t>
            </w:r>
          </w:p>
          <w:p w14:paraId="5B41DCC3" w14:textId="756707BD" w:rsidR="007D5F16" w:rsidRPr="0016567C" w:rsidRDefault="007D5F16" w:rsidP="00C72AF3">
            <w:pPr>
              <w:spacing w:line="276" w:lineRule="auto"/>
            </w:pPr>
            <w:r w:rsidRPr="0016567C">
              <w:t>• under other immunodeficiency criteria (e.g. primary antibody deficiency disorder)</w:t>
            </w:r>
            <w:r>
              <w:t>,</w:t>
            </w:r>
            <w:r w:rsidRPr="0016567C">
              <w:t xml:space="preserve"> depending on the results of subsequent immune evaluation; or </w:t>
            </w:r>
          </w:p>
          <w:p w14:paraId="08BF1D2E" w14:textId="77777777" w:rsidR="007D5F16" w:rsidRPr="0016567C" w:rsidRDefault="007D5F16" w:rsidP="00C72AF3">
            <w:pPr>
              <w:spacing w:line="276" w:lineRule="auto"/>
            </w:pPr>
            <w:r w:rsidRPr="0016567C">
              <w:t>• rarely under specific antibody deficiency following re-emergence of severe significant infection requiring hospitalisation.</w:t>
            </w:r>
          </w:p>
          <w:p w14:paraId="26CF1640" w14:textId="77777777" w:rsidR="007D5F16" w:rsidRPr="0016567C" w:rsidRDefault="007D5F16" w:rsidP="00C72AF3">
            <w:pPr>
              <w:spacing w:line="276" w:lineRule="auto"/>
            </w:pPr>
          </w:p>
          <w:p w14:paraId="719552FD" w14:textId="58A9E63B" w:rsidR="007D5F16" w:rsidRPr="0016567C" w:rsidRDefault="007D5F16" w:rsidP="00C72AF3">
            <w:pPr>
              <w:autoSpaceDE w:val="0"/>
              <w:autoSpaceDN w:val="0"/>
              <w:adjustRightInd w:val="0"/>
              <w:spacing w:line="276" w:lineRule="auto"/>
            </w:pPr>
            <w:r w:rsidRPr="0016567C">
              <w:t>In principle, immunoglobulin therapy should only be continued or renewed if there is a demonstrated clinical benefit. Note that re-</w:t>
            </w:r>
            <w:r w:rsidRPr="0016567C">
              <w:lastRenderedPageBreak/>
              <w:t>vaccination with unconjugated pneumococcal polysaccharide vaccine is not recommended because of the potential for immune hyporesponsiveness induced by repeated vaccination (O’Brien et al</w:t>
            </w:r>
            <w:r w:rsidRPr="0016567C">
              <w:rPr>
                <w:rFonts w:eastAsia="Calibri" w:cs="Shaker2Lancet-BoldItalic"/>
                <w:bCs/>
                <w:iCs/>
                <w:lang w:eastAsia="en-AU"/>
              </w:rPr>
              <w:t xml:space="preserve"> </w:t>
            </w:r>
            <w:r w:rsidRPr="0016567C">
              <w:rPr>
                <w:rFonts w:eastAsia="Calibri" w:cs="Shaker2Lancet-Bold"/>
                <w:bCs/>
                <w:lang w:eastAsia="en-AU"/>
              </w:rPr>
              <w:t>2007).</w:t>
            </w:r>
          </w:p>
          <w:p w14:paraId="089DA787" w14:textId="77777777" w:rsidR="007D5F16" w:rsidRPr="0016567C" w:rsidRDefault="007D5F16" w:rsidP="00C72AF3">
            <w:pPr>
              <w:spacing w:line="276" w:lineRule="auto"/>
            </w:pPr>
          </w:p>
          <w:p w14:paraId="2330A403" w14:textId="6B0409AC" w:rsidR="007D5F16" w:rsidRDefault="004334B2" w:rsidP="00C72AF3">
            <w:pPr>
              <w:spacing w:line="276" w:lineRule="auto"/>
              <w:rPr>
                <w:b/>
              </w:rPr>
            </w:pPr>
            <w:r>
              <w:rPr>
                <w:b/>
              </w:rPr>
              <w:t>On review of the authorisation period</w:t>
            </w:r>
          </w:p>
          <w:p w14:paraId="73DBEEF0" w14:textId="1EFDE5DA" w:rsidR="007D5F16" w:rsidRPr="009A04BB" w:rsidRDefault="009A04BB" w:rsidP="009A04BB">
            <w:pPr>
              <w:pStyle w:val="ListParagraph"/>
              <w:numPr>
                <w:ilvl w:val="0"/>
                <w:numId w:val="43"/>
              </w:numPr>
              <w:spacing w:line="276" w:lineRule="auto"/>
            </w:pPr>
            <w:r>
              <w:t xml:space="preserve">The </w:t>
            </w:r>
            <w:r w:rsidRPr="009A04BB">
              <w:t>patient had</w:t>
            </w:r>
            <w:r w:rsidR="007D5F16" w:rsidRPr="009A04BB">
              <w:t xml:space="preserve"> demonstrated</w:t>
            </w:r>
            <w:r w:rsidR="007D5F16" w:rsidRPr="0016567C">
              <w:t xml:space="preserve"> clinical benefit during the review period</w:t>
            </w:r>
            <w:r w:rsidR="007D5F16">
              <w:t>.</w:t>
            </w:r>
          </w:p>
          <w:p w14:paraId="25C02C02" w14:textId="0D6794C5" w:rsidR="007D5F16" w:rsidRPr="009A04BB" w:rsidRDefault="007D5F16" w:rsidP="00C72AF3">
            <w:pPr>
              <w:spacing w:line="276" w:lineRule="auto"/>
              <w:rPr>
                <w:rFonts w:cs="Times New Roman"/>
                <w:color w:val="000000"/>
                <w:lang w:eastAsia="en-AU"/>
              </w:rPr>
            </w:pPr>
            <w:r w:rsidRPr="0016567C">
              <w:rPr>
                <w:rFonts w:cs="Times New Roman"/>
                <w:color w:val="000000"/>
                <w:lang w:eastAsia="en-AU"/>
              </w:rPr>
              <w:t xml:space="preserve">AND </w:t>
            </w:r>
          </w:p>
          <w:p w14:paraId="5865214A" w14:textId="5E0AC990" w:rsidR="007D5F16" w:rsidRPr="009A04BB" w:rsidRDefault="007D5F16" w:rsidP="009A04BB">
            <w:pPr>
              <w:pStyle w:val="ListParagraph"/>
              <w:numPr>
                <w:ilvl w:val="0"/>
                <w:numId w:val="43"/>
              </w:numPr>
              <w:spacing w:line="276" w:lineRule="auto"/>
              <w:rPr>
                <w:rFonts w:asciiTheme="minorHAnsi" w:hAnsiTheme="minorHAnsi"/>
                <w:color w:val="000000"/>
              </w:rPr>
            </w:pPr>
            <w:r w:rsidRPr="009A04BB">
              <w:rPr>
                <w:rFonts w:asciiTheme="minorHAnsi" w:hAnsiTheme="minorHAnsi"/>
                <w:color w:val="000000"/>
              </w:rPr>
              <w:t>One life-threatening bacterial infection in the previous 12 months</w:t>
            </w:r>
          </w:p>
          <w:p w14:paraId="0BC391AD" w14:textId="77777777" w:rsidR="007D5F16" w:rsidRPr="0016567C" w:rsidRDefault="007D5F16" w:rsidP="00C72AF3">
            <w:pPr>
              <w:spacing w:line="276" w:lineRule="auto"/>
              <w:ind w:left="720"/>
              <w:rPr>
                <w:rFonts w:asciiTheme="minorHAnsi" w:hAnsiTheme="minorHAnsi"/>
                <w:color w:val="000000"/>
              </w:rPr>
            </w:pPr>
            <w:r w:rsidRPr="0016567C">
              <w:rPr>
                <w:rFonts w:asciiTheme="minorHAnsi" w:hAnsiTheme="minorHAnsi"/>
                <w:color w:val="000000"/>
              </w:rPr>
              <w:t>OR</w:t>
            </w:r>
          </w:p>
          <w:p w14:paraId="68B84514" w14:textId="30128D3E" w:rsidR="007D5F16" w:rsidRPr="009A04BB" w:rsidRDefault="007D5F16" w:rsidP="009A04BB">
            <w:pPr>
              <w:pStyle w:val="ListParagraph"/>
              <w:numPr>
                <w:ilvl w:val="0"/>
                <w:numId w:val="43"/>
              </w:numPr>
              <w:spacing w:line="276" w:lineRule="auto"/>
              <w:rPr>
                <w:rFonts w:asciiTheme="minorHAnsi" w:hAnsiTheme="minorHAnsi"/>
                <w:color w:val="000000"/>
              </w:rPr>
            </w:pPr>
            <w:r w:rsidRPr="007E7418">
              <w:rPr>
                <w:rFonts w:asciiTheme="minorHAnsi" w:hAnsiTheme="minorHAnsi"/>
                <w:color w:val="000000"/>
              </w:rPr>
              <w:t xml:space="preserve">At least two serious infections in the last six months requiring more </w:t>
            </w:r>
            <w:r w:rsidR="000A1147" w:rsidRPr="007E7418">
              <w:rPr>
                <w:rFonts w:eastAsia="Calibri"/>
                <w:lang w:val="en-US" w:eastAsia="en-AU"/>
              </w:rPr>
              <w:t>than standard courses of antibiotics (</w:t>
            </w:r>
            <w:proofErr w:type="spellStart"/>
            <w:r w:rsidR="000A1147" w:rsidRPr="007E7418">
              <w:rPr>
                <w:rFonts w:eastAsia="Calibri"/>
                <w:lang w:val="en-US" w:eastAsia="en-AU"/>
              </w:rPr>
              <w:t>eg</w:t>
            </w:r>
            <w:proofErr w:type="spellEnd"/>
            <w:r w:rsidR="000A1147" w:rsidRPr="007E7418">
              <w:rPr>
                <w:rFonts w:eastAsia="Calibri"/>
                <w:lang w:val="en-US" w:eastAsia="en-AU"/>
              </w:rPr>
              <w:t xml:space="preserve">. </w:t>
            </w:r>
            <w:proofErr w:type="spellStart"/>
            <w:r w:rsidR="000A1147" w:rsidRPr="007E7418">
              <w:rPr>
                <w:rFonts w:eastAsia="Calibri"/>
                <w:lang w:val="en-US" w:eastAsia="en-AU"/>
              </w:rPr>
              <w:t>Hospitalisation</w:t>
            </w:r>
            <w:proofErr w:type="spellEnd"/>
            <w:r w:rsidR="000A1147" w:rsidRPr="007E7418">
              <w:rPr>
                <w:rFonts w:eastAsia="Calibri"/>
                <w:lang w:val="en-US" w:eastAsia="en-AU"/>
              </w:rPr>
              <w:t>, intravenous or prolonged antibiotic therapy)</w:t>
            </w:r>
            <w:r w:rsidR="000A1147" w:rsidRPr="007E7418">
              <w:rPr>
                <w:rFonts w:asciiTheme="minorHAnsi" w:hAnsiTheme="minorHAnsi"/>
              </w:rPr>
              <w:t>.</w:t>
            </w:r>
          </w:p>
          <w:p w14:paraId="38E16E1E" w14:textId="77777777" w:rsidR="007D5F16" w:rsidRPr="0016567C" w:rsidRDefault="007D5F16" w:rsidP="00C72AF3">
            <w:pPr>
              <w:spacing w:line="276" w:lineRule="auto"/>
              <w:ind w:left="720"/>
              <w:rPr>
                <w:rFonts w:asciiTheme="minorHAnsi" w:hAnsiTheme="minorHAnsi"/>
                <w:color w:val="000000"/>
              </w:rPr>
            </w:pPr>
            <w:r w:rsidRPr="0016567C">
              <w:rPr>
                <w:rFonts w:asciiTheme="minorHAnsi" w:hAnsiTheme="minorHAnsi"/>
                <w:color w:val="000000"/>
              </w:rPr>
              <w:t xml:space="preserve">OR </w:t>
            </w:r>
          </w:p>
          <w:p w14:paraId="3B4A3ED1" w14:textId="41D903A2" w:rsidR="007D5F16" w:rsidRPr="0016567C" w:rsidRDefault="007D5F16" w:rsidP="009A04BB">
            <w:pPr>
              <w:pStyle w:val="ListParagraph"/>
              <w:numPr>
                <w:ilvl w:val="0"/>
                <w:numId w:val="43"/>
              </w:numPr>
              <w:spacing w:line="276" w:lineRule="auto"/>
            </w:pPr>
            <w:r>
              <w:t>There is o</w:t>
            </w:r>
            <w:r w:rsidRPr="0016567C">
              <w:t xml:space="preserve">ngoing evidence of impaired antibody production in the context of infection </w:t>
            </w:r>
            <w:r w:rsidRPr="002D79E2">
              <w:t>affecting long-term function (such as persistent purulent suppurative otitis media threatening long-term hearing)</w:t>
            </w:r>
          </w:p>
          <w:p w14:paraId="2A58A5DA" w14:textId="77777777" w:rsidR="007D5F16" w:rsidRPr="0016567C" w:rsidRDefault="007D5F16" w:rsidP="00C72AF3">
            <w:pPr>
              <w:pStyle w:val="ListParagraph"/>
              <w:spacing w:line="276" w:lineRule="auto"/>
            </w:pPr>
          </w:p>
          <w:p w14:paraId="5C8095CA" w14:textId="77777777" w:rsidR="007D5F16" w:rsidRPr="0016567C" w:rsidRDefault="007D5F16" w:rsidP="00C72AF3">
            <w:pPr>
              <w:spacing w:line="276" w:lineRule="auto"/>
            </w:pPr>
            <w:r w:rsidRPr="0016567C">
              <w:t>AND</w:t>
            </w:r>
          </w:p>
          <w:p w14:paraId="4BFF58DF" w14:textId="77777777" w:rsidR="007D5F16" w:rsidRPr="0016567C" w:rsidRDefault="007D5F16" w:rsidP="00C72AF3">
            <w:pPr>
              <w:spacing w:line="276" w:lineRule="auto"/>
              <w:rPr>
                <w:rFonts w:cs="Times New Roman"/>
                <w:color w:val="000000"/>
                <w:lang w:eastAsia="en-AU"/>
              </w:rPr>
            </w:pPr>
          </w:p>
          <w:p w14:paraId="0F5744C9" w14:textId="140B2B7E" w:rsidR="007D5F16" w:rsidRPr="007E7418" w:rsidRDefault="007D5F16" w:rsidP="009A04BB">
            <w:pPr>
              <w:pStyle w:val="ListParagraph"/>
              <w:numPr>
                <w:ilvl w:val="0"/>
                <w:numId w:val="43"/>
              </w:numPr>
              <w:spacing w:line="276" w:lineRule="auto"/>
              <w:rPr>
                <w:rFonts w:cs="Times New Roman"/>
                <w:color w:val="000000"/>
                <w:lang w:eastAsia="en-AU"/>
              </w:rPr>
            </w:pPr>
            <w:r w:rsidRPr="009A04BB">
              <w:rPr>
                <w:rFonts w:cs="Times New Roman"/>
                <w:color w:val="000000"/>
                <w:lang w:eastAsia="en-AU"/>
              </w:rPr>
              <w:t xml:space="preserve">A trial cessation of therapy will be undertaken next September or October to undertake an immunological re-evaluation, unless a trial </w:t>
            </w:r>
            <w:r w:rsidRPr="009A04BB">
              <w:rPr>
                <w:rFonts w:cs="Times New Roman"/>
                <w:color w:val="000000"/>
                <w:lang w:eastAsia="en-AU"/>
              </w:rPr>
              <w:lastRenderedPageBreak/>
              <w:t>period of cessation of intravenous immunoglobulin (IVIg) for the purpose of immunological evaluation is medically contraindicated on safety grounds (such as a patient with neutropenia, on immunosuppressant medication or with clinica</w:t>
            </w:r>
            <w:r w:rsidRPr="007E7418">
              <w:rPr>
                <w:rFonts w:cs="Times New Roman"/>
                <w:color w:val="000000"/>
                <w:lang w:eastAsia="en-AU"/>
              </w:rPr>
              <w:t>lly active bronchiectasis and/or suppurative lung disease</w:t>
            </w:r>
            <w:r w:rsidR="009A04BB" w:rsidRPr="007E7418">
              <w:rPr>
                <w:rFonts w:cs="Times New Roman"/>
                <w:color w:val="000000"/>
                <w:lang w:eastAsia="en-AU"/>
              </w:rPr>
              <w:t>*</w:t>
            </w:r>
            <w:r w:rsidRPr="007E7418">
              <w:rPr>
                <w:rFonts w:cs="Times New Roman"/>
                <w:color w:val="000000"/>
                <w:lang w:eastAsia="en-AU"/>
              </w:rPr>
              <w:t>).</w:t>
            </w:r>
          </w:p>
          <w:p w14:paraId="59A7A0AD" w14:textId="77777777" w:rsidR="00130B39" w:rsidRPr="007E7418" w:rsidRDefault="00130B39" w:rsidP="00C72AF3">
            <w:pPr>
              <w:spacing w:line="276" w:lineRule="auto"/>
              <w:rPr>
                <w:rFonts w:cs="Times New Roman"/>
                <w:color w:val="000000"/>
                <w:lang w:eastAsia="en-AU"/>
              </w:rPr>
            </w:pPr>
          </w:p>
          <w:p w14:paraId="53D378A2" w14:textId="6F1F04E1" w:rsidR="007D5F16" w:rsidRPr="0016567C" w:rsidRDefault="007D5F16" w:rsidP="00C72AF3">
            <w:pPr>
              <w:spacing w:before="100" w:beforeAutospacing="1" w:after="150" w:line="276" w:lineRule="auto"/>
              <w:rPr>
                <w:rFonts w:asciiTheme="minorHAnsi" w:eastAsia="Calibri" w:hAnsiTheme="minorHAnsi" w:cs="HelveticaCondensed"/>
                <w:lang w:eastAsia="en-AU"/>
              </w:rPr>
            </w:pPr>
            <w:r w:rsidRPr="007E7418">
              <w:rPr>
                <w:rFonts w:cs="Times New Roman"/>
                <w:b/>
                <w:bCs/>
                <w:lang w:eastAsia="en-AU"/>
              </w:rPr>
              <w:t>Please note</w:t>
            </w:r>
            <w:r w:rsidR="009A04BB" w:rsidRPr="007E7418">
              <w:rPr>
                <w:rFonts w:cs="Times New Roman"/>
                <w:b/>
                <w:bCs/>
                <w:lang w:eastAsia="en-AU"/>
              </w:rPr>
              <w:t>*</w:t>
            </w:r>
            <w:r w:rsidRPr="007E7418">
              <w:rPr>
                <w:rFonts w:cs="Times New Roman"/>
                <w:b/>
                <w:bCs/>
                <w:lang w:eastAsia="en-AU"/>
              </w:rPr>
              <w:t>: a d</w:t>
            </w:r>
            <w:r w:rsidRPr="0016567C">
              <w:rPr>
                <w:rFonts w:cs="Times New Roman"/>
                <w:b/>
                <w:bCs/>
                <w:lang w:eastAsia="en-AU"/>
              </w:rPr>
              <w:t>iagnosis of bronchiectasis and/or suppurative lung disease must be consistent with the</w:t>
            </w:r>
            <w:r w:rsidRPr="0016567C">
              <w:rPr>
                <w:rFonts w:cs="Times New Roman"/>
                <w:b/>
                <w:bCs/>
                <w:color w:val="808080"/>
                <w:lang w:eastAsia="en-AU"/>
              </w:rPr>
              <w:t xml:space="preserve"> </w:t>
            </w:r>
            <w:r w:rsidRPr="0016567C">
              <w:rPr>
                <w:rFonts w:asciiTheme="minorHAnsi" w:hAnsiTheme="minorHAnsi"/>
                <w:b/>
              </w:rPr>
              <w:t>position statement of the Thoracic Society of Australia and New Zealand and the Australian Lung Foundation (Chang et al 2010</w:t>
            </w:r>
            <w:r w:rsidRPr="002D79E2">
              <w:rPr>
                <w:rFonts w:asciiTheme="minorHAnsi" w:eastAsia="Calibri" w:hAnsiTheme="minorHAnsi" w:cs="HelveticaCondensed"/>
                <w:b/>
                <w:lang w:eastAsia="en-AU"/>
              </w:rPr>
              <w:t>).</w:t>
            </w:r>
          </w:p>
          <w:p w14:paraId="1372D025" w14:textId="77777777" w:rsidR="007D5F16" w:rsidRPr="0016567C" w:rsidRDefault="007D5F16" w:rsidP="00C72AF3">
            <w:pPr>
              <w:pStyle w:val="ListParagraph"/>
              <w:spacing w:before="100" w:beforeAutospacing="1" w:after="150" w:line="276" w:lineRule="auto"/>
              <w:ind w:left="404"/>
              <w:rPr>
                <w:rFonts w:cs="Times New Roman"/>
                <w:strike/>
                <w:color w:val="000000"/>
                <w:lang w:eastAsia="en-AU"/>
              </w:rPr>
            </w:pPr>
          </w:p>
          <w:p w14:paraId="193B8AE1" w14:textId="6A18C6F0" w:rsidR="007D5F16" w:rsidRPr="0016567C" w:rsidRDefault="007D5F16" w:rsidP="00C72AF3">
            <w:pPr>
              <w:spacing w:before="100" w:beforeAutospacing="1" w:after="120" w:line="276" w:lineRule="auto"/>
              <w:rPr>
                <w:b/>
              </w:rPr>
            </w:pPr>
            <w:r w:rsidRPr="0016567C">
              <w:rPr>
                <w:b/>
              </w:rPr>
              <w:t>Life</w:t>
            </w:r>
            <w:r>
              <w:rPr>
                <w:b/>
              </w:rPr>
              <w:t>-</w:t>
            </w:r>
            <w:r w:rsidRPr="0016567C">
              <w:rPr>
                <w:b/>
              </w:rPr>
              <w:t>threatening infection or a series of significant infections following trial</w:t>
            </w:r>
            <w:r>
              <w:rPr>
                <w:b/>
              </w:rPr>
              <w:t>-</w:t>
            </w:r>
            <w:r w:rsidRPr="0016567C">
              <w:rPr>
                <w:b/>
              </w:rPr>
              <w:t>off Ig therapy in patients with proven specific antibody deficiency</w:t>
            </w:r>
            <w:r>
              <w:rPr>
                <w:b/>
              </w:rPr>
              <w:t>.</w:t>
            </w:r>
          </w:p>
          <w:p w14:paraId="22FB6CFE" w14:textId="77777777" w:rsidR="00F03CA8" w:rsidRDefault="00F03CA8" w:rsidP="00C72AF3">
            <w:pPr>
              <w:spacing w:line="276" w:lineRule="auto"/>
              <w:rPr>
                <w:b/>
                <w:color w:val="A6A6A6" w:themeColor="background1" w:themeShade="A6"/>
              </w:rPr>
            </w:pPr>
          </w:p>
          <w:p w14:paraId="2D8C5280" w14:textId="77777777" w:rsidR="007D5F16" w:rsidRPr="0016567C" w:rsidRDefault="007D5F16" w:rsidP="00C72AF3">
            <w:pPr>
              <w:spacing w:line="276" w:lineRule="auto"/>
            </w:pPr>
            <w:r w:rsidRPr="0016567C">
              <w:t>Natural history of specific antibody deficiency remains poorly defined, although antibody production will improve for many patients over time, particularly children.</w:t>
            </w:r>
          </w:p>
          <w:p w14:paraId="7B45CED0" w14:textId="77777777" w:rsidR="007D5F16" w:rsidRPr="0016567C" w:rsidRDefault="007D5F16" w:rsidP="00C72AF3">
            <w:pPr>
              <w:spacing w:line="276" w:lineRule="auto"/>
            </w:pPr>
          </w:p>
          <w:p w14:paraId="401C0B5B" w14:textId="6ACB8718" w:rsidR="007D5F16" w:rsidRPr="0016567C" w:rsidRDefault="009A04BB" w:rsidP="00C72AF3">
            <w:pPr>
              <w:spacing w:line="276" w:lineRule="auto"/>
            </w:pPr>
            <w:r>
              <w:t>Regular review by a Clinical I</w:t>
            </w:r>
            <w:r w:rsidR="007D5F16" w:rsidRPr="0016567C">
              <w:t>mmunolog</w:t>
            </w:r>
            <w:r w:rsidR="007D5F16" w:rsidRPr="007E7418">
              <w:t>ist</w:t>
            </w:r>
            <w:r w:rsidRPr="007E7418">
              <w:t xml:space="preserve"> or Respiratory P</w:t>
            </w:r>
            <w:r w:rsidR="00F03CA8" w:rsidRPr="007E7418">
              <w:t>hysician</w:t>
            </w:r>
            <w:r w:rsidR="007D5F16" w:rsidRPr="007E7418">
              <w:t xml:space="preserve"> is required, at least annually. </w:t>
            </w:r>
            <w:r w:rsidRPr="007E7418">
              <w:lastRenderedPageBreak/>
              <w:t>Documentation of clinical effectiveness is necessary for continuation of Ig therapy.</w:t>
            </w:r>
            <w:r w:rsidRPr="007E7418">
              <w:rPr>
                <w:sz w:val="18"/>
              </w:rPr>
              <w:t xml:space="preserve"> </w:t>
            </w:r>
            <w:r w:rsidR="007D5F16" w:rsidRPr="007E7418">
              <w:t>Ce</w:t>
            </w:r>
            <w:r w:rsidR="007D5F16" w:rsidRPr="0016567C">
              <w:t>ssation of immunoglobulin therapy should be considered, at least after each 12 months of Ig therapy, extended as required to enable cessation of therapy in September</w:t>
            </w:r>
            <w:r w:rsidR="007D5F16">
              <w:t xml:space="preserve"> or </w:t>
            </w:r>
            <w:r w:rsidR="007D5F16" w:rsidRPr="0016567C">
              <w:t>October.</w:t>
            </w:r>
          </w:p>
          <w:p w14:paraId="0EEC7D66" w14:textId="77777777" w:rsidR="007D5F16" w:rsidRPr="0016567C" w:rsidRDefault="007D5F16" w:rsidP="00C72AF3">
            <w:pPr>
              <w:spacing w:line="276" w:lineRule="auto"/>
            </w:pPr>
          </w:p>
          <w:p w14:paraId="219375A4" w14:textId="77777777" w:rsidR="007D5F16" w:rsidRPr="0016567C" w:rsidRDefault="007D5F16" w:rsidP="00C72AF3">
            <w:pPr>
              <w:spacing w:line="276" w:lineRule="auto"/>
            </w:pPr>
            <w:r w:rsidRPr="0016567C">
              <w:t xml:space="preserve">This should particularly be considered in patients who do not have suppurative lung disease or bronchiectasis. An immunoglobulin washout period of four to six months is necessary to enable an accurate assessment. Prophylactic antibiotics may be considered to cover the period of cessation of immunoglobulin therapy. </w:t>
            </w:r>
          </w:p>
          <w:p w14:paraId="3114E846" w14:textId="77777777" w:rsidR="007D5F16" w:rsidRPr="0016567C" w:rsidRDefault="007D5F16" w:rsidP="00C72AF3">
            <w:pPr>
              <w:spacing w:line="276" w:lineRule="auto"/>
            </w:pPr>
          </w:p>
          <w:p w14:paraId="0A1F9B27" w14:textId="77777777" w:rsidR="007D5F16" w:rsidRPr="0016567C" w:rsidRDefault="007D5F16" w:rsidP="00C72AF3">
            <w:pPr>
              <w:spacing w:line="276" w:lineRule="auto"/>
            </w:pPr>
            <w:r w:rsidRPr="0016567C">
              <w:t>Patients may qualify for further immunoglobulin therapy:</w:t>
            </w:r>
          </w:p>
          <w:p w14:paraId="798FD2D9" w14:textId="5737494B" w:rsidR="007D5F16" w:rsidRPr="0016567C" w:rsidRDefault="007D5F16" w:rsidP="00C72AF3">
            <w:pPr>
              <w:spacing w:line="276" w:lineRule="auto"/>
            </w:pPr>
            <w:r w:rsidRPr="0016567C">
              <w:t>• under other immunodeficiency criteria (e.g. primary antibody deficiency disorder)</w:t>
            </w:r>
            <w:r>
              <w:t>,</w:t>
            </w:r>
            <w:r w:rsidRPr="0016567C">
              <w:t xml:space="preserve"> depending on the results of subsequent immune evaluation; or </w:t>
            </w:r>
          </w:p>
          <w:p w14:paraId="1D98CB11" w14:textId="77777777" w:rsidR="007D5F16" w:rsidRPr="0016567C" w:rsidRDefault="007D5F16" w:rsidP="00C72AF3">
            <w:pPr>
              <w:spacing w:line="276" w:lineRule="auto"/>
            </w:pPr>
            <w:r w:rsidRPr="0016567C">
              <w:t>• rarely under specific antibody deficiency following re-emergence of severe significant infection requiring hospitalisation.</w:t>
            </w:r>
          </w:p>
          <w:p w14:paraId="09B304F3" w14:textId="77777777" w:rsidR="007D5F16" w:rsidRPr="0016567C" w:rsidRDefault="007D5F16" w:rsidP="00C72AF3">
            <w:pPr>
              <w:spacing w:line="276" w:lineRule="auto"/>
            </w:pPr>
          </w:p>
          <w:p w14:paraId="33D1937A" w14:textId="58D43550" w:rsidR="007D5F16" w:rsidRPr="0016567C" w:rsidRDefault="007D5F16" w:rsidP="00C72AF3">
            <w:pPr>
              <w:autoSpaceDE w:val="0"/>
              <w:autoSpaceDN w:val="0"/>
              <w:adjustRightInd w:val="0"/>
              <w:spacing w:line="276" w:lineRule="auto"/>
            </w:pPr>
            <w:r w:rsidRPr="0016567C">
              <w:t xml:space="preserve">In principle, immunoglobulin therapy should only be continued or renewed if there is a demonstrated clinical benefit. Note that re-vaccination with unconjugated pneumococcal </w:t>
            </w:r>
            <w:r w:rsidRPr="0016567C">
              <w:lastRenderedPageBreak/>
              <w:t>polysaccharide vaccine is not recommended because of the potential for immune hyporesponsiveness induced by repeated vaccination (O’Brien et al</w:t>
            </w:r>
            <w:r w:rsidRPr="0016567C">
              <w:rPr>
                <w:rFonts w:eastAsia="Calibri" w:cs="Shaker2Lancet-BoldItalic"/>
                <w:bCs/>
                <w:iCs/>
                <w:lang w:eastAsia="en-AU"/>
              </w:rPr>
              <w:t xml:space="preserve"> </w:t>
            </w:r>
            <w:r w:rsidRPr="0016567C">
              <w:rPr>
                <w:rFonts w:eastAsia="Calibri" w:cs="Shaker2Lancet-Bold"/>
                <w:bCs/>
                <w:lang w:eastAsia="en-AU"/>
              </w:rPr>
              <w:t>2007).</w:t>
            </w:r>
          </w:p>
          <w:p w14:paraId="0A1387D0" w14:textId="77777777" w:rsidR="007D5F16" w:rsidRPr="0016567C" w:rsidRDefault="007D5F16" w:rsidP="00C72AF3">
            <w:pPr>
              <w:spacing w:line="276" w:lineRule="auto"/>
            </w:pPr>
          </w:p>
          <w:p w14:paraId="2A4DFDE5" w14:textId="6441C2E5" w:rsidR="007D5F16" w:rsidRPr="00BB4A86" w:rsidRDefault="004334B2" w:rsidP="00C72AF3">
            <w:pPr>
              <w:spacing w:line="276" w:lineRule="auto"/>
              <w:rPr>
                <w:b/>
              </w:rPr>
            </w:pPr>
            <w:r>
              <w:rPr>
                <w:b/>
              </w:rPr>
              <w:t>O</w:t>
            </w:r>
            <w:r w:rsidR="00CA7908">
              <w:rPr>
                <w:b/>
              </w:rPr>
              <w:t xml:space="preserve">n review of </w:t>
            </w:r>
            <w:r w:rsidR="000A1147">
              <w:rPr>
                <w:b/>
              </w:rPr>
              <w:t xml:space="preserve">an </w:t>
            </w:r>
            <w:r w:rsidR="00CA7908">
              <w:rPr>
                <w:b/>
              </w:rPr>
              <w:t>authorisati</w:t>
            </w:r>
            <w:r>
              <w:rPr>
                <w:b/>
              </w:rPr>
              <w:t>on period</w:t>
            </w:r>
          </w:p>
          <w:p w14:paraId="15D957A6" w14:textId="7E238EC9" w:rsidR="007D5F16" w:rsidRPr="009A04BB" w:rsidRDefault="007D5F16" w:rsidP="009A04BB">
            <w:pPr>
              <w:pStyle w:val="ListParagraph"/>
              <w:numPr>
                <w:ilvl w:val="0"/>
                <w:numId w:val="43"/>
              </w:numPr>
              <w:spacing w:line="276" w:lineRule="auto"/>
            </w:pPr>
            <w:r w:rsidRPr="0016567C">
              <w:t>The patient had demonstrated clinical benefit during the review period</w:t>
            </w:r>
            <w:r>
              <w:t>.</w:t>
            </w:r>
          </w:p>
          <w:p w14:paraId="13410D7F" w14:textId="3529AF3B" w:rsidR="007D5F16" w:rsidRPr="009A04BB" w:rsidRDefault="007D5F16" w:rsidP="00C72AF3">
            <w:pPr>
              <w:spacing w:line="276" w:lineRule="auto"/>
              <w:rPr>
                <w:rFonts w:cs="Times New Roman"/>
                <w:color w:val="000000"/>
                <w:lang w:eastAsia="en-AU"/>
              </w:rPr>
            </w:pPr>
            <w:r w:rsidRPr="0016567C">
              <w:rPr>
                <w:rFonts w:cs="Times New Roman"/>
                <w:color w:val="000000"/>
                <w:lang w:eastAsia="en-AU"/>
              </w:rPr>
              <w:t xml:space="preserve">AND </w:t>
            </w:r>
          </w:p>
          <w:p w14:paraId="199FDB89" w14:textId="479EBE96" w:rsidR="00C23ECA" w:rsidRPr="009A04BB" w:rsidRDefault="007D5F16" w:rsidP="00C72AF3">
            <w:pPr>
              <w:pStyle w:val="ListParagraph"/>
              <w:numPr>
                <w:ilvl w:val="0"/>
                <w:numId w:val="43"/>
              </w:numPr>
              <w:spacing w:line="276" w:lineRule="auto"/>
              <w:rPr>
                <w:rFonts w:asciiTheme="minorHAnsi" w:hAnsiTheme="minorHAnsi"/>
                <w:color w:val="000000"/>
              </w:rPr>
            </w:pPr>
            <w:r w:rsidRPr="009A04BB">
              <w:rPr>
                <w:rFonts w:asciiTheme="minorHAnsi" w:hAnsiTheme="minorHAnsi"/>
                <w:color w:val="000000"/>
              </w:rPr>
              <w:t>One life-threatening bacterial infection in the previous 12 months</w:t>
            </w:r>
          </w:p>
          <w:p w14:paraId="4A41C110" w14:textId="77777777" w:rsidR="007D5F16" w:rsidRPr="0016567C" w:rsidRDefault="007D5F16" w:rsidP="00C72AF3">
            <w:pPr>
              <w:spacing w:line="276" w:lineRule="auto"/>
              <w:ind w:left="720"/>
              <w:rPr>
                <w:rFonts w:asciiTheme="minorHAnsi" w:hAnsiTheme="minorHAnsi"/>
                <w:color w:val="000000"/>
              </w:rPr>
            </w:pPr>
            <w:r w:rsidRPr="0016567C">
              <w:rPr>
                <w:rFonts w:asciiTheme="minorHAnsi" w:hAnsiTheme="minorHAnsi"/>
                <w:color w:val="000000"/>
              </w:rPr>
              <w:t>OR</w:t>
            </w:r>
          </w:p>
          <w:p w14:paraId="579851A3" w14:textId="0108AC12" w:rsidR="007D5F16" w:rsidRPr="007E7418" w:rsidRDefault="007D5F16" w:rsidP="009A04BB">
            <w:pPr>
              <w:pStyle w:val="ListParagraph"/>
              <w:numPr>
                <w:ilvl w:val="0"/>
                <w:numId w:val="43"/>
              </w:numPr>
              <w:spacing w:line="276" w:lineRule="auto"/>
              <w:rPr>
                <w:rFonts w:asciiTheme="minorHAnsi" w:hAnsiTheme="minorHAnsi"/>
                <w:color w:val="000000"/>
              </w:rPr>
            </w:pPr>
            <w:r w:rsidRPr="009A04BB">
              <w:rPr>
                <w:rFonts w:asciiTheme="minorHAnsi" w:hAnsiTheme="minorHAnsi"/>
                <w:color w:val="000000"/>
              </w:rPr>
              <w:t>At least two serious infe</w:t>
            </w:r>
            <w:r w:rsidRPr="007E7418">
              <w:rPr>
                <w:rFonts w:asciiTheme="minorHAnsi" w:hAnsiTheme="minorHAnsi"/>
                <w:color w:val="000000"/>
              </w:rPr>
              <w:t xml:space="preserve">ctions in the last six months requiring more than </w:t>
            </w:r>
            <w:r w:rsidR="000A1147" w:rsidRPr="007E7418">
              <w:rPr>
                <w:rFonts w:eastAsia="Calibri"/>
                <w:lang w:val="en-US" w:eastAsia="en-AU"/>
              </w:rPr>
              <w:t>than standard courses of antibiotics (</w:t>
            </w:r>
            <w:proofErr w:type="spellStart"/>
            <w:r w:rsidR="000A1147" w:rsidRPr="007E7418">
              <w:rPr>
                <w:rFonts w:eastAsia="Calibri"/>
                <w:lang w:val="en-US" w:eastAsia="en-AU"/>
              </w:rPr>
              <w:t>eg</w:t>
            </w:r>
            <w:proofErr w:type="spellEnd"/>
            <w:r w:rsidR="000A1147" w:rsidRPr="007E7418">
              <w:rPr>
                <w:rFonts w:eastAsia="Calibri"/>
                <w:lang w:val="en-US" w:eastAsia="en-AU"/>
              </w:rPr>
              <w:t xml:space="preserve">. </w:t>
            </w:r>
            <w:proofErr w:type="spellStart"/>
            <w:r w:rsidR="000A1147" w:rsidRPr="007E7418">
              <w:rPr>
                <w:rFonts w:eastAsia="Calibri"/>
                <w:lang w:val="en-US" w:eastAsia="en-AU"/>
              </w:rPr>
              <w:t>Hospitalisation</w:t>
            </w:r>
            <w:proofErr w:type="spellEnd"/>
            <w:r w:rsidR="000A1147" w:rsidRPr="007E7418">
              <w:rPr>
                <w:rFonts w:eastAsia="Calibri"/>
                <w:lang w:val="en-US" w:eastAsia="en-AU"/>
              </w:rPr>
              <w:t>, intravenous or prolonged antibiotic therapy)</w:t>
            </w:r>
            <w:r w:rsidR="000A1147" w:rsidRPr="007E7418">
              <w:rPr>
                <w:rFonts w:asciiTheme="minorHAnsi" w:hAnsiTheme="minorHAnsi"/>
              </w:rPr>
              <w:t>.</w:t>
            </w:r>
          </w:p>
          <w:p w14:paraId="0ED46DDA" w14:textId="77777777" w:rsidR="007D5F16" w:rsidRPr="007E7418" w:rsidRDefault="007D5F16" w:rsidP="00C72AF3">
            <w:pPr>
              <w:spacing w:line="276" w:lineRule="auto"/>
              <w:ind w:left="720"/>
              <w:rPr>
                <w:rFonts w:asciiTheme="minorHAnsi" w:hAnsiTheme="minorHAnsi"/>
                <w:color w:val="000000"/>
              </w:rPr>
            </w:pPr>
            <w:r w:rsidRPr="007E7418">
              <w:rPr>
                <w:rFonts w:asciiTheme="minorHAnsi" w:hAnsiTheme="minorHAnsi"/>
                <w:color w:val="000000"/>
              </w:rPr>
              <w:t xml:space="preserve">OR </w:t>
            </w:r>
          </w:p>
          <w:p w14:paraId="04BD7CFF" w14:textId="209BF099" w:rsidR="007D5F16" w:rsidRPr="00C23ECA" w:rsidRDefault="007D5F16" w:rsidP="009A04BB">
            <w:pPr>
              <w:pStyle w:val="ListParagraph"/>
              <w:numPr>
                <w:ilvl w:val="0"/>
                <w:numId w:val="43"/>
              </w:numPr>
              <w:spacing w:line="276" w:lineRule="auto"/>
            </w:pPr>
            <w:r w:rsidRPr="007E7418">
              <w:t>There is ongoing evidence of impaired</w:t>
            </w:r>
            <w:r w:rsidRPr="0016567C">
              <w:t xml:space="preserve"> antibody production in the context of </w:t>
            </w:r>
            <w:r>
              <w:t xml:space="preserve">persistent </w:t>
            </w:r>
            <w:r w:rsidRPr="0016567C">
              <w:t xml:space="preserve">infection </w:t>
            </w:r>
            <w:r>
              <w:t>affecting long-term function (such as</w:t>
            </w:r>
            <w:r w:rsidRPr="0016567C">
              <w:t xml:space="preserve"> </w:t>
            </w:r>
            <w:r>
              <w:t xml:space="preserve">persistent </w:t>
            </w:r>
            <w:r w:rsidRPr="0016567C">
              <w:t xml:space="preserve">purulent suppurative otitis media </w:t>
            </w:r>
            <w:r w:rsidR="004334B2">
              <w:t>threatening long-term hearing)</w:t>
            </w:r>
            <w:r>
              <w:t xml:space="preserve"> </w:t>
            </w:r>
          </w:p>
          <w:p w14:paraId="7470F31D" w14:textId="77777777" w:rsidR="007D5F16" w:rsidRPr="0016567C" w:rsidRDefault="007D5F16" w:rsidP="00C72AF3">
            <w:pPr>
              <w:spacing w:line="276" w:lineRule="auto"/>
              <w:rPr>
                <w:b/>
                <w:strike/>
              </w:rPr>
            </w:pPr>
          </w:p>
          <w:p w14:paraId="1DDBA72B" w14:textId="615200E8" w:rsidR="007D5F16" w:rsidRPr="009A04BB" w:rsidRDefault="007D5F16" w:rsidP="00C72AF3">
            <w:pPr>
              <w:spacing w:line="276" w:lineRule="auto"/>
            </w:pPr>
            <w:r w:rsidRPr="0016567C">
              <w:t>AND</w:t>
            </w:r>
          </w:p>
          <w:p w14:paraId="79D03CB7" w14:textId="02D75E8C" w:rsidR="007D5F16" w:rsidRPr="007E7418" w:rsidRDefault="007D5F16" w:rsidP="009A04BB">
            <w:pPr>
              <w:pStyle w:val="ListParagraph"/>
              <w:numPr>
                <w:ilvl w:val="0"/>
                <w:numId w:val="43"/>
              </w:numPr>
              <w:spacing w:line="276" w:lineRule="auto"/>
              <w:rPr>
                <w:rFonts w:cs="Times New Roman"/>
                <w:color w:val="000000"/>
                <w:lang w:eastAsia="en-AU"/>
              </w:rPr>
            </w:pPr>
            <w:r w:rsidRPr="009A04BB">
              <w:rPr>
                <w:rFonts w:cs="Times New Roman"/>
                <w:color w:val="000000"/>
                <w:lang w:eastAsia="en-AU"/>
              </w:rPr>
              <w:t xml:space="preserve">A trial cessation of therapy will be undertaken next September or October to undertake an immunological re-evaluation, unless a trial period of cessation of IVIg for the purpose of </w:t>
            </w:r>
            <w:r w:rsidRPr="009A04BB">
              <w:rPr>
                <w:rFonts w:cs="Times New Roman"/>
                <w:color w:val="000000"/>
                <w:lang w:eastAsia="en-AU"/>
              </w:rPr>
              <w:lastRenderedPageBreak/>
              <w:t>immunological evaluation is medically contraindicated on safety grounds (such as a patient with neutropenia, on immunosuppressant medication or with clinically active bronchi</w:t>
            </w:r>
            <w:r w:rsidRPr="007E7418">
              <w:rPr>
                <w:rFonts w:cs="Times New Roman"/>
                <w:color w:val="000000"/>
                <w:lang w:eastAsia="en-AU"/>
              </w:rPr>
              <w:t>ectasis and/or suppurative lung disease</w:t>
            </w:r>
            <w:r w:rsidR="009A04BB" w:rsidRPr="007E7418">
              <w:rPr>
                <w:rFonts w:cs="Times New Roman"/>
                <w:color w:val="000000"/>
                <w:lang w:eastAsia="en-AU"/>
              </w:rPr>
              <w:t>*</w:t>
            </w:r>
            <w:r w:rsidRPr="007E7418">
              <w:rPr>
                <w:rFonts w:cs="Times New Roman"/>
                <w:color w:val="000000"/>
                <w:lang w:eastAsia="en-AU"/>
              </w:rPr>
              <w:t>).</w:t>
            </w:r>
          </w:p>
          <w:p w14:paraId="44B63683" w14:textId="77777777" w:rsidR="007D5F16" w:rsidRPr="007E7418" w:rsidRDefault="007D5F16" w:rsidP="00C72AF3">
            <w:pPr>
              <w:spacing w:line="276" w:lineRule="auto"/>
              <w:rPr>
                <w:rFonts w:cs="Times New Roman"/>
                <w:color w:val="000000"/>
                <w:lang w:eastAsia="en-AU"/>
              </w:rPr>
            </w:pPr>
          </w:p>
          <w:p w14:paraId="09E4568C" w14:textId="77777777" w:rsidR="00C23ECA" w:rsidRPr="007E7418" w:rsidRDefault="00C23ECA" w:rsidP="00C23ECA">
            <w:pPr>
              <w:spacing w:line="276" w:lineRule="auto"/>
            </w:pPr>
            <w:r w:rsidRPr="007E7418">
              <w:t xml:space="preserve">Antibiotic therapy may be indicated in addition to immunoglobulin therapy. </w:t>
            </w:r>
          </w:p>
          <w:p w14:paraId="6D8E5F21" w14:textId="77777777" w:rsidR="00C23ECA" w:rsidRPr="007E7418" w:rsidRDefault="00C23ECA" w:rsidP="00C72AF3">
            <w:pPr>
              <w:spacing w:line="276" w:lineRule="auto"/>
              <w:rPr>
                <w:rFonts w:cs="Times New Roman"/>
                <w:color w:val="000000"/>
                <w:lang w:eastAsia="en-AU"/>
              </w:rPr>
            </w:pPr>
          </w:p>
          <w:p w14:paraId="1DE86445" w14:textId="7CA0CF76" w:rsidR="007D5F16" w:rsidRDefault="00F61983" w:rsidP="00C72AF3">
            <w:pPr>
              <w:spacing w:before="100" w:beforeAutospacing="1" w:after="150" w:line="276" w:lineRule="auto"/>
              <w:rPr>
                <w:rFonts w:asciiTheme="minorHAnsi" w:eastAsia="Calibri" w:hAnsiTheme="minorHAnsi" w:cs="HelveticaCondensed"/>
                <w:b/>
                <w:lang w:eastAsia="en-AU"/>
              </w:rPr>
            </w:pPr>
            <w:r w:rsidRPr="007E7418">
              <w:rPr>
                <w:rFonts w:cs="Times New Roman"/>
                <w:b/>
                <w:bCs/>
                <w:lang w:eastAsia="en-AU"/>
              </w:rPr>
              <w:t>*</w:t>
            </w:r>
            <w:r w:rsidR="007D5F16" w:rsidRPr="007E7418">
              <w:rPr>
                <w:rFonts w:cs="Times New Roman"/>
                <w:b/>
                <w:bCs/>
                <w:lang w:eastAsia="en-AU"/>
              </w:rPr>
              <w:t>Please note: a diagnosis of bronchiectasis and/or suppurative lung disease must be consistent with</w:t>
            </w:r>
            <w:r w:rsidR="007D5F16" w:rsidRPr="007E7418">
              <w:rPr>
                <w:rFonts w:cs="Times New Roman"/>
                <w:b/>
                <w:bCs/>
                <w:color w:val="808080"/>
                <w:lang w:eastAsia="en-AU"/>
              </w:rPr>
              <w:t xml:space="preserve"> </w:t>
            </w:r>
            <w:r w:rsidR="007D5F16" w:rsidRPr="007E7418">
              <w:rPr>
                <w:rFonts w:asciiTheme="minorHAnsi" w:hAnsiTheme="minorHAnsi"/>
                <w:b/>
              </w:rPr>
              <w:t>position statement of the Thoracic Society of Australia and New Zealand and the Australian Lung Foundation (Chang et al 2010</w:t>
            </w:r>
            <w:r w:rsidR="007D5F16" w:rsidRPr="007E7418">
              <w:rPr>
                <w:rFonts w:asciiTheme="minorHAnsi" w:eastAsia="Calibri" w:hAnsiTheme="minorHAnsi" w:cs="HelveticaCondensed"/>
                <w:b/>
                <w:lang w:eastAsia="en-AU"/>
              </w:rPr>
              <w:t>).</w:t>
            </w:r>
          </w:p>
          <w:p w14:paraId="7A403F46" w14:textId="77777777" w:rsidR="000A1147" w:rsidRPr="004C7B00" w:rsidRDefault="000A1147" w:rsidP="00C72AF3">
            <w:pPr>
              <w:spacing w:before="100" w:beforeAutospacing="1" w:after="150" w:line="276" w:lineRule="auto"/>
              <w:rPr>
                <w:rFonts w:cs="Times New Roman"/>
                <w:strike/>
                <w:color w:val="000000"/>
                <w:lang w:eastAsia="en-AU"/>
              </w:rPr>
            </w:pPr>
          </w:p>
          <w:p w14:paraId="775B6BCD" w14:textId="2CA645C7" w:rsidR="007D5F16" w:rsidRPr="0016567C" w:rsidRDefault="007D5F16" w:rsidP="00C72AF3">
            <w:pPr>
              <w:spacing w:before="100" w:beforeAutospacing="1" w:after="120" w:line="276" w:lineRule="auto"/>
              <w:rPr>
                <w:b/>
              </w:rPr>
            </w:pPr>
            <w:r w:rsidRPr="00FC03A4">
              <w:rPr>
                <w:b/>
              </w:rPr>
              <w:t>Patients currently receiving immunoglobulin therapy for a diagnosis of IgG subclass deficiency are eligible for continued therapy, but a diagnosis of specific antibody deficiency should be confirmed following cessation of immunoglobulin therapy.</w:t>
            </w:r>
          </w:p>
          <w:p w14:paraId="00C29DBD" w14:textId="77777777" w:rsidR="007D5F16" w:rsidRPr="0016567C" w:rsidRDefault="007D5F16" w:rsidP="00C72AF3">
            <w:pPr>
              <w:spacing w:line="276" w:lineRule="auto"/>
            </w:pPr>
            <w:r w:rsidRPr="0016567C">
              <w:t>Natural history of specific antibody deficiency remains poorly defined, although antibody production will improve for many patients over time, particularly children.</w:t>
            </w:r>
          </w:p>
          <w:p w14:paraId="452A0013" w14:textId="77777777" w:rsidR="007D5F16" w:rsidRPr="0016567C" w:rsidRDefault="007D5F16" w:rsidP="00C72AF3">
            <w:pPr>
              <w:spacing w:line="276" w:lineRule="auto"/>
            </w:pPr>
          </w:p>
          <w:p w14:paraId="7751BD61" w14:textId="70254BB3" w:rsidR="007D5F16" w:rsidRPr="0016567C" w:rsidRDefault="009A04BB" w:rsidP="00C72AF3">
            <w:pPr>
              <w:spacing w:line="276" w:lineRule="auto"/>
            </w:pPr>
            <w:r w:rsidRPr="00D51056">
              <w:t>Regular review by a Clinical I</w:t>
            </w:r>
            <w:r w:rsidR="007D5F16" w:rsidRPr="00D51056">
              <w:t xml:space="preserve">mmunologist </w:t>
            </w:r>
            <w:r w:rsidRPr="00D51056">
              <w:t>or Respiratory P</w:t>
            </w:r>
            <w:r w:rsidR="00F03CA8" w:rsidRPr="00D51056">
              <w:t xml:space="preserve">hysician </w:t>
            </w:r>
            <w:r w:rsidR="007D5F16" w:rsidRPr="00D51056">
              <w:t xml:space="preserve">is required, at least annually. </w:t>
            </w:r>
            <w:r w:rsidR="000A1147" w:rsidRPr="00D51056">
              <w:t>Documentation of clinical effectiveness is necessary for continuation of Ig therapy.</w:t>
            </w:r>
            <w:r w:rsidR="000A1147" w:rsidRPr="00D51056">
              <w:rPr>
                <w:sz w:val="18"/>
              </w:rPr>
              <w:t xml:space="preserve"> </w:t>
            </w:r>
            <w:r w:rsidR="007D5F16" w:rsidRPr="00D51056">
              <w:t>Cessation of immunoglobulin therapy should be consid</w:t>
            </w:r>
            <w:r w:rsidR="007D5F16" w:rsidRPr="0016567C">
              <w:t>ered, at least after each 12 months of therapy</w:t>
            </w:r>
            <w:r w:rsidR="007D5F16">
              <w:t>,</w:t>
            </w:r>
            <w:r w:rsidR="007D5F16" w:rsidRPr="0016567C">
              <w:t xml:space="preserve"> extended as required to enable cessation of therapy in September</w:t>
            </w:r>
            <w:r w:rsidR="007D5F16">
              <w:t xml:space="preserve"> or </w:t>
            </w:r>
            <w:r w:rsidR="007D5F16" w:rsidRPr="0016567C">
              <w:t>October.</w:t>
            </w:r>
          </w:p>
          <w:p w14:paraId="15DB2DCC" w14:textId="77777777" w:rsidR="007D5F16" w:rsidRPr="0016567C" w:rsidRDefault="007D5F16" w:rsidP="00C72AF3">
            <w:pPr>
              <w:spacing w:line="276" w:lineRule="auto"/>
            </w:pPr>
          </w:p>
          <w:p w14:paraId="1478B2D2" w14:textId="77777777" w:rsidR="007D5F16" w:rsidRPr="0016567C" w:rsidRDefault="007D5F16" w:rsidP="00C72AF3">
            <w:pPr>
              <w:spacing w:line="276" w:lineRule="auto"/>
            </w:pPr>
            <w:r w:rsidRPr="0016567C">
              <w:t xml:space="preserve">This should particularly be considered in patients who do not have active suppurative lung disease or bronchiectasis. An immunoglobulin washout period of four to six months is necessary to enable an accurate assessment. Prophylactic antibiotics may be considered to cover the period of cessation of immunoglobulin therapy. </w:t>
            </w:r>
          </w:p>
          <w:p w14:paraId="7570CF3E" w14:textId="77777777" w:rsidR="007D5F16" w:rsidRPr="0016567C" w:rsidRDefault="007D5F16" w:rsidP="00C72AF3">
            <w:pPr>
              <w:spacing w:line="276" w:lineRule="auto"/>
            </w:pPr>
          </w:p>
          <w:p w14:paraId="03CB7D21" w14:textId="77777777" w:rsidR="007D5F16" w:rsidRPr="0016567C" w:rsidRDefault="007D5F16" w:rsidP="00C72AF3">
            <w:pPr>
              <w:spacing w:line="276" w:lineRule="auto"/>
            </w:pPr>
            <w:r w:rsidRPr="0016567C">
              <w:t xml:space="preserve">In principle, immunoglobulin therapy should only be continued or renewed if there is a demonstrated clinical benefit and ceasing therapy will compromise patient safety.  </w:t>
            </w:r>
          </w:p>
          <w:p w14:paraId="308C1B5A" w14:textId="77777777" w:rsidR="007D5F16" w:rsidRPr="0016567C" w:rsidRDefault="007D5F16" w:rsidP="00C72AF3">
            <w:pPr>
              <w:spacing w:line="276" w:lineRule="auto"/>
            </w:pPr>
          </w:p>
          <w:p w14:paraId="0A0226A9" w14:textId="66E558FB" w:rsidR="007D5F16" w:rsidRDefault="004334B2" w:rsidP="00C72AF3">
            <w:pPr>
              <w:spacing w:line="276" w:lineRule="auto"/>
              <w:rPr>
                <w:rFonts w:cs="Times New Roman"/>
                <w:b/>
                <w:lang w:eastAsia="en-AU"/>
              </w:rPr>
            </w:pPr>
            <w:r>
              <w:rPr>
                <w:rFonts w:cs="Times New Roman"/>
                <w:b/>
                <w:lang w:eastAsia="en-AU"/>
              </w:rPr>
              <w:t xml:space="preserve">On </w:t>
            </w:r>
            <w:r w:rsidR="00653EBE">
              <w:rPr>
                <w:rFonts w:cs="Times New Roman"/>
                <w:b/>
                <w:lang w:eastAsia="en-AU"/>
              </w:rPr>
              <w:t>review</w:t>
            </w:r>
            <w:r>
              <w:rPr>
                <w:rFonts w:cs="Times New Roman"/>
                <w:b/>
                <w:lang w:eastAsia="en-AU"/>
              </w:rPr>
              <w:t xml:space="preserve"> of </w:t>
            </w:r>
            <w:r w:rsidR="00F03CA8">
              <w:rPr>
                <w:rFonts w:cs="Times New Roman"/>
                <w:b/>
                <w:lang w:eastAsia="en-AU"/>
              </w:rPr>
              <w:t>an</w:t>
            </w:r>
            <w:r>
              <w:rPr>
                <w:rFonts w:cs="Times New Roman"/>
                <w:b/>
                <w:lang w:eastAsia="en-AU"/>
              </w:rPr>
              <w:t xml:space="preserve"> authorisation period</w:t>
            </w:r>
          </w:p>
          <w:p w14:paraId="0F91E881" w14:textId="349C4B5D" w:rsidR="007D5F16" w:rsidRPr="0016567C" w:rsidRDefault="007D5F16" w:rsidP="00D97E23">
            <w:pPr>
              <w:pStyle w:val="ListParagraph"/>
              <w:numPr>
                <w:ilvl w:val="0"/>
                <w:numId w:val="43"/>
              </w:numPr>
              <w:spacing w:line="276" w:lineRule="auto"/>
            </w:pPr>
            <w:r w:rsidRPr="0016567C">
              <w:t>The patient had demonstrated clinical benefit during the review period</w:t>
            </w:r>
            <w:r>
              <w:t xml:space="preserve"> </w:t>
            </w:r>
            <w:r w:rsidRPr="00D97E23">
              <w:rPr>
                <w:rFonts w:cs="Times New Roman"/>
                <w:color w:val="000000"/>
                <w:lang w:eastAsia="en-AU"/>
              </w:rPr>
              <w:t>and has had at least two episodes of infection requiring antibiotics</w:t>
            </w:r>
          </w:p>
          <w:p w14:paraId="42EEB251" w14:textId="77777777" w:rsidR="007D5F16" w:rsidRPr="0016567C" w:rsidRDefault="007D5F16" w:rsidP="00C72AF3">
            <w:pPr>
              <w:spacing w:line="276" w:lineRule="auto"/>
            </w:pPr>
          </w:p>
          <w:p w14:paraId="5A3BB127" w14:textId="77777777" w:rsidR="007D5F16" w:rsidRPr="0016567C" w:rsidRDefault="007D5F16" w:rsidP="00C72AF3">
            <w:pPr>
              <w:spacing w:line="276" w:lineRule="auto"/>
            </w:pPr>
            <w:r w:rsidRPr="0016567C">
              <w:t>AND</w:t>
            </w:r>
          </w:p>
          <w:p w14:paraId="3F081C4E" w14:textId="77777777" w:rsidR="007D5F16" w:rsidRPr="0016567C" w:rsidRDefault="007D5F16" w:rsidP="00C72AF3">
            <w:pPr>
              <w:spacing w:line="276" w:lineRule="auto"/>
            </w:pPr>
          </w:p>
          <w:p w14:paraId="3532AED5" w14:textId="69351610" w:rsidR="007D5F16" w:rsidRPr="00D97E23" w:rsidRDefault="007D5F16" w:rsidP="00D97E23">
            <w:pPr>
              <w:pStyle w:val="ListParagraph"/>
              <w:numPr>
                <w:ilvl w:val="0"/>
                <w:numId w:val="43"/>
              </w:numPr>
              <w:spacing w:line="276" w:lineRule="auto"/>
              <w:rPr>
                <w:rFonts w:cs="Times New Roman"/>
                <w:color w:val="000000"/>
                <w:lang w:eastAsia="en-AU"/>
              </w:rPr>
            </w:pPr>
            <w:r w:rsidRPr="0016567C">
              <w:t>Clinically active bronchiectasis and/or suppurative lung disease persists (see Note)</w:t>
            </w:r>
          </w:p>
          <w:p w14:paraId="5FAF8B8C" w14:textId="77777777" w:rsidR="007D5F16" w:rsidRPr="0016567C" w:rsidRDefault="007D5F16" w:rsidP="00C72AF3">
            <w:pPr>
              <w:spacing w:before="100" w:beforeAutospacing="1" w:after="150" w:line="276" w:lineRule="auto"/>
              <w:rPr>
                <w:rFonts w:cs="Times New Roman"/>
                <w:color w:val="000000"/>
                <w:lang w:eastAsia="en-AU"/>
              </w:rPr>
            </w:pPr>
            <w:r w:rsidRPr="0016567C">
              <w:rPr>
                <w:rFonts w:cs="Times New Roman"/>
                <w:color w:val="000000"/>
                <w:lang w:eastAsia="en-AU"/>
              </w:rPr>
              <w:t>AND</w:t>
            </w:r>
          </w:p>
          <w:p w14:paraId="43531252" w14:textId="4043CB24" w:rsidR="007D5F16" w:rsidRPr="00D51056" w:rsidRDefault="007D5F16" w:rsidP="00D97E23">
            <w:pPr>
              <w:pStyle w:val="ListParagraph"/>
              <w:numPr>
                <w:ilvl w:val="0"/>
                <w:numId w:val="43"/>
              </w:numPr>
              <w:spacing w:line="276" w:lineRule="auto"/>
              <w:rPr>
                <w:rFonts w:cs="Times New Roman"/>
                <w:color w:val="000000"/>
                <w:lang w:eastAsia="en-AU"/>
              </w:rPr>
            </w:pPr>
            <w:r w:rsidRPr="00D97E23">
              <w:rPr>
                <w:rFonts w:cs="Times New Roman"/>
                <w:color w:val="000000"/>
                <w:lang w:eastAsia="en-AU"/>
              </w:rPr>
              <w:t>A trial cessation of therapy will be undertaken next September or October to undertake an immunological re-evaluation, unless a trial period of cessation of IVIg for the purpose of immunological evaluation is medically contraindicated on safety grounds (such as a patient with neutropenia, on immunosuppre</w:t>
            </w:r>
            <w:r w:rsidRPr="00D51056">
              <w:rPr>
                <w:rFonts w:cs="Times New Roman"/>
                <w:color w:val="000000"/>
                <w:lang w:eastAsia="en-AU"/>
              </w:rPr>
              <w:t>ssant medication or with clinically active bronchiectasis and/or suppurative lung disease</w:t>
            </w:r>
            <w:r w:rsidR="00F61983" w:rsidRPr="00D51056">
              <w:rPr>
                <w:rFonts w:cs="Times New Roman"/>
                <w:color w:val="000000"/>
                <w:lang w:eastAsia="en-AU"/>
              </w:rPr>
              <w:t>*</w:t>
            </w:r>
            <w:r w:rsidRPr="00D51056">
              <w:rPr>
                <w:rFonts w:cs="Times New Roman"/>
                <w:color w:val="000000"/>
                <w:lang w:eastAsia="en-AU"/>
              </w:rPr>
              <w:t xml:space="preserve">). </w:t>
            </w:r>
          </w:p>
          <w:p w14:paraId="19A14AB4" w14:textId="77777777" w:rsidR="000A1147" w:rsidRPr="00D51056" w:rsidRDefault="000A1147" w:rsidP="00C72AF3">
            <w:pPr>
              <w:spacing w:line="276" w:lineRule="auto"/>
              <w:rPr>
                <w:rFonts w:cs="Times New Roman"/>
                <w:color w:val="000000"/>
                <w:lang w:eastAsia="en-AU"/>
              </w:rPr>
            </w:pPr>
          </w:p>
          <w:p w14:paraId="48E1CDCF" w14:textId="77777777" w:rsidR="000A1147" w:rsidRPr="00D51056" w:rsidRDefault="000A1147" w:rsidP="000A1147">
            <w:pPr>
              <w:spacing w:line="276" w:lineRule="auto"/>
            </w:pPr>
            <w:r w:rsidRPr="00D51056">
              <w:t>Antibiotic therapy may be indicated in addition to immunoglobulin therapy.</w:t>
            </w:r>
          </w:p>
          <w:p w14:paraId="64F2BA5E" w14:textId="77777777" w:rsidR="007D5F16" w:rsidRPr="00D51056" w:rsidRDefault="007D5F16" w:rsidP="00C72AF3">
            <w:pPr>
              <w:spacing w:line="276" w:lineRule="auto"/>
              <w:rPr>
                <w:rFonts w:cs="Times New Roman"/>
                <w:color w:val="000000"/>
                <w:lang w:eastAsia="en-AU"/>
              </w:rPr>
            </w:pPr>
          </w:p>
          <w:p w14:paraId="3AA58772" w14:textId="03D505DD" w:rsidR="007D5F16" w:rsidRDefault="00F61983" w:rsidP="00C72AF3">
            <w:pPr>
              <w:spacing w:line="276" w:lineRule="auto"/>
              <w:rPr>
                <w:rFonts w:asciiTheme="minorHAnsi" w:eastAsia="Calibri" w:hAnsiTheme="minorHAnsi" w:cs="HelveticaCondensed"/>
                <w:lang w:eastAsia="en-AU"/>
              </w:rPr>
            </w:pPr>
            <w:r w:rsidRPr="00D51056">
              <w:rPr>
                <w:rFonts w:cs="Times New Roman"/>
                <w:b/>
                <w:bCs/>
                <w:lang w:eastAsia="en-AU"/>
              </w:rPr>
              <w:t>*</w:t>
            </w:r>
            <w:r w:rsidR="007D5F16" w:rsidRPr="00D51056">
              <w:rPr>
                <w:rFonts w:cs="Times New Roman"/>
                <w:b/>
                <w:bCs/>
                <w:lang w:eastAsia="en-AU"/>
              </w:rPr>
              <w:t>Please note: a diagnosis of bronchiectasis and/or suppurative</w:t>
            </w:r>
            <w:r w:rsidR="007D5F16" w:rsidRPr="00DE35B7">
              <w:rPr>
                <w:rFonts w:cs="Times New Roman"/>
                <w:b/>
                <w:bCs/>
                <w:lang w:eastAsia="en-AU"/>
              </w:rPr>
              <w:t xml:space="preserve"> lung disease must be consistent with</w:t>
            </w:r>
            <w:r w:rsidR="007D5F16" w:rsidRPr="0016567C">
              <w:rPr>
                <w:rFonts w:cs="Times New Roman"/>
                <w:b/>
                <w:bCs/>
                <w:color w:val="808080"/>
                <w:lang w:eastAsia="en-AU"/>
              </w:rPr>
              <w:t xml:space="preserve"> </w:t>
            </w:r>
            <w:r w:rsidR="007D5F16" w:rsidRPr="0016567C">
              <w:rPr>
                <w:rFonts w:asciiTheme="minorHAnsi" w:hAnsiTheme="minorHAnsi"/>
                <w:b/>
              </w:rPr>
              <w:t>position statement of the Thoracic Society of Australia and New Zealand and the Australian Lung Foundation (Chang et al 2010</w:t>
            </w:r>
            <w:r w:rsidR="007D5F16" w:rsidRPr="00DE35B7">
              <w:rPr>
                <w:rFonts w:asciiTheme="minorHAnsi" w:eastAsia="Calibri" w:hAnsiTheme="minorHAnsi" w:cs="HelveticaCondensed"/>
                <w:b/>
                <w:lang w:eastAsia="en-AU"/>
              </w:rPr>
              <w:t>).</w:t>
            </w:r>
            <w:r w:rsidR="007D5F16" w:rsidRPr="0016567C">
              <w:rPr>
                <w:rFonts w:asciiTheme="minorHAnsi" w:eastAsia="Calibri" w:hAnsiTheme="minorHAnsi" w:cs="HelveticaCondensed"/>
                <w:lang w:eastAsia="en-AU"/>
              </w:rPr>
              <w:t xml:space="preserve"> </w:t>
            </w:r>
          </w:p>
          <w:p w14:paraId="2F75F2BA" w14:textId="77777777" w:rsidR="00CA7908" w:rsidRDefault="00CA7908" w:rsidP="00C72AF3">
            <w:pPr>
              <w:spacing w:line="276" w:lineRule="auto"/>
              <w:rPr>
                <w:rFonts w:asciiTheme="minorHAnsi" w:eastAsia="Calibri" w:hAnsiTheme="minorHAnsi" w:cs="HelveticaCondensed"/>
                <w:lang w:eastAsia="en-AU"/>
              </w:rPr>
            </w:pPr>
          </w:p>
          <w:p w14:paraId="36261068" w14:textId="77777777" w:rsidR="007D5F16" w:rsidRPr="0016567C" w:rsidRDefault="007D5F16" w:rsidP="000A1147">
            <w:pPr>
              <w:spacing w:line="276" w:lineRule="auto"/>
              <w:rPr>
                <w:rFonts w:asciiTheme="minorHAnsi" w:hAnsiTheme="minorHAnsi"/>
              </w:rPr>
            </w:pPr>
          </w:p>
        </w:tc>
        <w:tc>
          <w:tcPr>
            <w:tcW w:w="3969" w:type="dxa"/>
          </w:tcPr>
          <w:p w14:paraId="6D503906" w14:textId="77777777" w:rsidR="007D5F16" w:rsidRPr="00CE1966" w:rsidRDefault="007D5F16" w:rsidP="00F4409C">
            <w:pPr>
              <w:spacing w:after="200"/>
              <w:rPr>
                <w:rFonts w:asciiTheme="minorHAnsi" w:hAnsiTheme="minorHAnsi"/>
              </w:rPr>
            </w:pPr>
          </w:p>
        </w:tc>
      </w:tr>
      <w:tr w:rsidR="007D5F16" w:rsidRPr="00CE1966" w14:paraId="7149436F" w14:textId="77777777" w:rsidTr="00D97E23">
        <w:trPr>
          <w:gridBefore w:val="1"/>
          <w:gridAfter w:val="1"/>
          <w:wBefore w:w="24" w:type="dxa"/>
          <w:wAfter w:w="12" w:type="dxa"/>
        </w:trPr>
        <w:tc>
          <w:tcPr>
            <w:tcW w:w="1663" w:type="dxa"/>
            <w:gridSpan w:val="2"/>
            <w:shd w:val="clear" w:color="auto" w:fill="D9D9D9" w:themeFill="background1" w:themeFillShade="D9"/>
          </w:tcPr>
          <w:p w14:paraId="3FE33FEB" w14:textId="6D973CF7" w:rsidR="007D5F16" w:rsidRPr="00CE1966" w:rsidRDefault="007D5F16" w:rsidP="00BD341A">
            <w:pPr>
              <w:rPr>
                <w:rFonts w:asciiTheme="minorHAnsi" w:hAnsiTheme="minorHAnsi"/>
                <w:b/>
              </w:rPr>
            </w:pPr>
            <w:r w:rsidRPr="00CE1966">
              <w:rPr>
                <w:rFonts w:asciiTheme="minorHAnsi" w:hAnsiTheme="minorHAnsi"/>
                <w:b/>
              </w:rPr>
              <w:lastRenderedPageBreak/>
              <w:t>Dose</w:t>
            </w:r>
          </w:p>
        </w:tc>
        <w:tc>
          <w:tcPr>
            <w:tcW w:w="4408" w:type="dxa"/>
          </w:tcPr>
          <w:p w14:paraId="0C17EFCB" w14:textId="77777777" w:rsidR="007D5F16" w:rsidRPr="00CE1966" w:rsidRDefault="007D5F16" w:rsidP="00CE1966">
            <w:pPr>
              <w:spacing w:after="225" w:line="360" w:lineRule="atLeast"/>
              <w:rPr>
                <w:rFonts w:asciiTheme="minorHAnsi" w:eastAsia="Times New Roman" w:hAnsiTheme="minorHAnsi" w:cs="Times New Roman"/>
                <w:color w:val="000000"/>
                <w:lang w:eastAsia="en-AU"/>
              </w:rPr>
            </w:pPr>
            <w:r w:rsidRPr="00CE1966">
              <w:rPr>
                <w:rFonts w:asciiTheme="minorHAnsi" w:eastAsia="Times New Roman" w:hAnsiTheme="minorHAnsi" w:cs="Times New Roman"/>
                <w:b/>
                <w:bCs/>
                <w:color w:val="000000"/>
                <w:lang w:eastAsia="en-AU"/>
              </w:rPr>
              <w:t>Maintenance dose:</w:t>
            </w:r>
            <w:r w:rsidRPr="00CE1966">
              <w:rPr>
                <w:rFonts w:asciiTheme="minorHAnsi" w:eastAsia="Times New Roman" w:hAnsiTheme="minorHAnsi" w:cs="Times New Roman"/>
                <w:color w:val="000000"/>
                <w:lang w:eastAsia="en-AU"/>
              </w:rPr>
              <w:t xml:space="preserve"> 0.4 g/kg every 4 weeks.</w:t>
            </w:r>
          </w:p>
          <w:p w14:paraId="0D56F4EC" w14:textId="77777777" w:rsidR="007D5F16" w:rsidRPr="00CE1966" w:rsidRDefault="007D5F16" w:rsidP="00CE1966">
            <w:pPr>
              <w:spacing w:after="225" w:line="360" w:lineRule="atLeast"/>
              <w:rPr>
                <w:rFonts w:asciiTheme="minorHAnsi" w:eastAsia="Times New Roman" w:hAnsiTheme="minorHAnsi" w:cs="Times New Roman"/>
                <w:color w:val="000000"/>
                <w:lang w:eastAsia="en-AU"/>
              </w:rPr>
            </w:pPr>
            <w:r w:rsidRPr="00CE1966">
              <w:rPr>
                <w:rFonts w:asciiTheme="minorHAnsi" w:eastAsia="Times New Roman" w:hAnsiTheme="minorHAnsi" w:cs="Times New Roman"/>
                <w:b/>
                <w:bCs/>
                <w:color w:val="000000"/>
                <w:lang w:eastAsia="en-AU"/>
              </w:rPr>
              <w:lastRenderedPageBreak/>
              <w:t>Loading dose:</w:t>
            </w:r>
            <w:r w:rsidRPr="00CE1966">
              <w:rPr>
                <w:rFonts w:asciiTheme="minorHAnsi" w:eastAsia="Times New Roman" w:hAnsiTheme="minorHAnsi" w:cs="Times New Roman"/>
                <w:color w:val="000000"/>
                <w:lang w:eastAsia="en-AU"/>
              </w:rPr>
              <w:t xml:space="preserve"> not approved.</w:t>
            </w:r>
          </w:p>
          <w:p w14:paraId="5BFEC1B9" w14:textId="77777777" w:rsidR="007D5F16" w:rsidRPr="00CE1966" w:rsidRDefault="007D5F16" w:rsidP="00CE1966">
            <w:pPr>
              <w:spacing w:after="225" w:line="360" w:lineRule="atLeast"/>
              <w:rPr>
                <w:rFonts w:asciiTheme="minorHAnsi" w:eastAsia="Times New Roman" w:hAnsiTheme="minorHAnsi" w:cs="Times New Roman"/>
                <w:color w:val="000000"/>
                <w:lang w:eastAsia="en-AU"/>
              </w:rPr>
            </w:pPr>
            <w:r w:rsidRPr="00CE1966">
              <w:rPr>
                <w:rFonts w:asciiTheme="minorHAnsi" w:eastAsia="Times New Roman" w:hAnsiTheme="minorHAnsi" w:cs="Times New Roman"/>
                <w:color w:val="000000"/>
                <w:lang w:eastAsia="en-AU"/>
              </w:rPr>
              <w:t>Subcutaneous administration of immunoglobulins (SCIg) is a suitable alternative to IVIg in this setting.</w:t>
            </w:r>
          </w:p>
          <w:p w14:paraId="575AB4B1" w14:textId="77777777" w:rsidR="007D5F16" w:rsidRPr="00CE1966" w:rsidRDefault="007D5F16" w:rsidP="00CE1966">
            <w:pPr>
              <w:spacing w:after="225" w:line="360" w:lineRule="atLeast"/>
              <w:rPr>
                <w:rFonts w:asciiTheme="minorHAnsi" w:eastAsia="Times New Roman" w:hAnsiTheme="minorHAnsi" w:cs="Times New Roman"/>
                <w:b/>
                <w:bCs/>
                <w:color w:val="000000"/>
                <w:lang w:eastAsia="en-AU"/>
              </w:rPr>
            </w:pPr>
            <w:r w:rsidRPr="00CE1966">
              <w:rPr>
                <w:rFonts w:asciiTheme="minorHAnsi" w:eastAsia="Times New Roman" w:hAnsiTheme="minorHAnsi" w:cs="Times New Roman"/>
                <w:b/>
                <w:bCs/>
                <w:color w:val="000000"/>
                <w:lang w:eastAsia="en-AU"/>
              </w:rPr>
              <w:t>Refer to the current product information sheet for further information.</w:t>
            </w:r>
          </w:p>
          <w:p w14:paraId="2A034785" w14:textId="29B3CE0D" w:rsidR="007D5F16" w:rsidRPr="00CE1966" w:rsidRDefault="007D5F16" w:rsidP="003505E4">
            <w:pPr>
              <w:spacing w:after="225" w:line="360" w:lineRule="atLeast"/>
              <w:rPr>
                <w:rFonts w:asciiTheme="minorHAnsi" w:eastAsia="Times New Roman" w:hAnsiTheme="minorHAnsi" w:cs="Times New Roman"/>
                <w:color w:val="000000"/>
                <w:lang w:eastAsia="en-AU"/>
              </w:rPr>
            </w:pPr>
            <w:r w:rsidRPr="00CE1966">
              <w:rPr>
                <w:rFonts w:asciiTheme="minorHAnsi" w:eastAsia="Times New Roman" w:hAnsiTheme="minorHAnsi" w:cs="Times New Roman"/>
                <w:b/>
                <w:bCs/>
                <w:color w:val="000000"/>
                <w:lang w:eastAsia="en-AU"/>
              </w:rPr>
              <w:t>The aim should be to use the lowest dose possible that achieves the appropriate clinical outcome for each patient.</w:t>
            </w:r>
          </w:p>
        </w:tc>
        <w:tc>
          <w:tcPr>
            <w:tcW w:w="4819" w:type="dxa"/>
            <w:gridSpan w:val="3"/>
          </w:tcPr>
          <w:p w14:paraId="1DEF5FC5" w14:textId="1E4EA456" w:rsidR="007D5F16" w:rsidRPr="00124E85" w:rsidRDefault="007D5F16" w:rsidP="00124E85">
            <w:pPr>
              <w:spacing w:after="120"/>
              <w:rPr>
                <w:rFonts w:cs="Times New Roman"/>
                <w:b/>
                <w:bCs/>
                <w:color w:val="000000"/>
              </w:rPr>
            </w:pPr>
            <w:r w:rsidRPr="00D51056">
              <w:rPr>
                <w:rFonts w:cs="Times New Roman"/>
                <w:b/>
                <w:bCs/>
                <w:color w:val="000000"/>
              </w:rPr>
              <w:lastRenderedPageBreak/>
              <w:t xml:space="preserve">Loading dose </w:t>
            </w:r>
            <w:r w:rsidR="00F61983" w:rsidRPr="00D51056">
              <w:rPr>
                <w:rFonts w:cs="Times New Roman"/>
                <w:b/>
                <w:bCs/>
                <w:color w:val="000000"/>
              </w:rPr>
              <w:t xml:space="preserve">- </w:t>
            </w:r>
            <w:r w:rsidRPr="00D51056">
              <w:rPr>
                <w:rFonts w:cs="Times New Roman"/>
                <w:bCs/>
                <w:color w:val="000000"/>
              </w:rPr>
              <w:t>is not approved</w:t>
            </w:r>
            <w:r w:rsidRPr="00D51056">
              <w:rPr>
                <w:rFonts w:cs="Times New Roman"/>
                <w:b/>
                <w:bCs/>
                <w:color w:val="000000"/>
              </w:rPr>
              <w:t>.</w:t>
            </w:r>
            <w:r w:rsidRPr="00124E85">
              <w:rPr>
                <w:rFonts w:cs="Times New Roman"/>
                <w:b/>
                <w:bCs/>
                <w:color w:val="000000"/>
              </w:rPr>
              <w:t xml:space="preserve"> </w:t>
            </w:r>
          </w:p>
          <w:p w14:paraId="0339BBF9" w14:textId="6CDA55AA" w:rsidR="007D5F16" w:rsidRPr="00124E85" w:rsidRDefault="007D5F16" w:rsidP="00124E85">
            <w:pPr>
              <w:spacing w:after="120"/>
              <w:rPr>
                <w:rFonts w:cs="Times New Roman"/>
                <w:color w:val="000000"/>
              </w:rPr>
            </w:pPr>
            <w:r w:rsidRPr="00124E85">
              <w:rPr>
                <w:rFonts w:cs="Times New Roman"/>
                <w:b/>
                <w:bCs/>
                <w:color w:val="000000"/>
              </w:rPr>
              <w:t>Maintenance dose</w:t>
            </w:r>
            <w:r w:rsidR="00F61983">
              <w:rPr>
                <w:rFonts w:cs="Times New Roman"/>
                <w:b/>
                <w:bCs/>
                <w:color w:val="000000"/>
              </w:rPr>
              <w:t xml:space="preserve"> - </w:t>
            </w:r>
            <w:r w:rsidRPr="00124E85">
              <w:rPr>
                <w:rFonts w:cs="Times New Roman"/>
                <w:color w:val="000000"/>
              </w:rPr>
              <w:t>0.4 g/kg every 4 weeks</w:t>
            </w:r>
            <w:r>
              <w:rPr>
                <w:rFonts w:cs="Times New Roman"/>
                <w:color w:val="000000"/>
              </w:rPr>
              <w:t>.</w:t>
            </w:r>
          </w:p>
          <w:p w14:paraId="506BD8CA" w14:textId="77777777" w:rsidR="007D5F16" w:rsidRPr="00124E85" w:rsidRDefault="007D5F16" w:rsidP="00124E85">
            <w:pPr>
              <w:rPr>
                <w:b/>
              </w:rPr>
            </w:pPr>
          </w:p>
          <w:p w14:paraId="5468A349" w14:textId="77777777" w:rsidR="007D5F16" w:rsidRPr="00124E85" w:rsidRDefault="007D5F16" w:rsidP="00CA7908">
            <w:pPr>
              <w:spacing w:after="120" w:line="276" w:lineRule="auto"/>
              <w:rPr>
                <w:color w:val="000000"/>
              </w:rPr>
            </w:pPr>
            <w:r w:rsidRPr="00124E85">
              <w:rPr>
                <w:color w:val="000000"/>
              </w:rPr>
              <w:t xml:space="preserve">Subcutaneous administration of immunoglobulin (SCIg) is a suitable alternative to IVIg in this setting. </w:t>
            </w:r>
          </w:p>
          <w:p w14:paraId="1761EBF4" w14:textId="77777777" w:rsidR="000A1147" w:rsidRDefault="000A1147" w:rsidP="000A1147">
            <w:pPr>
              <w:spacing w:line="276" w:lineRule="auto"/>
              <w:rPr>
                <w:rFonts w:cs="Times New Roman"/>
                <w:bCs/>
                <w:color w:val="000000"/>
              </w:rPr>
            </w:pPr>
            <w:r w:rsidRPr="000A1147">
              <w:rPr>
                <w:rFonts w:cs="Times New Roman"/>
                <w:bCs/>
                <w:color w:val="000000"/>
              </w:rPr>
              <w:t>The aim should be to use the lowest dose possible that achieves the appropriate clinical outcome for each patient.</w:t>
            </w:r>
          </w:p>
          <w:p w14:paraId="5C85FAB1" w14:textId="77777777" w:rsidR="00D97E23" w:rsidRPr="000A1147" w:rsidRDefault="00D97E23" w:rsidP="000A1147">
            <w:pPr>
              <w:spacing w:line="276" w:lineRule="auto"/>
              <w:rPr>
                <w:rFonts w:cs="Times New Roman"/>
                <w:bCs/>
                <w:color w:val="000000"/>
              </w:rPr>
            </w:pPr>
            <w:bookmarkStart w:id="0" w:name="_GoBack"/>
            <w:bookmarkEnd w:id="0"/>
          </w:p>
          <w:p w14:paraId="5ADB7868" w14:textId="4DC305E0" w:rsidR="007D5F16" w:rsidRPr="00CE1966" w:rsidRDefault="007D5F16" w:rsidP="003505E4">
            <w:pPr>
              <w:spacing w:after="120" w:line="276" w:lineRule="auto"/>
              <w:rPr>
                <w:rFonts w:asciiTheme="minorHAnsi" w:eastAsia="Times New Roman" w:hAnsiTheme="minorHAnsi" w:cstheme="minorHAnsi"/>
                <w:b/>
                <w:color w:val="000000"/>
              </w:rPr>
            </w:pPr>
            <w:r w:rsidRPr="00124E85">
              <w:rPr>
                <w:rFonts w:cs="Times New Roman"/>
                <w:b/>
                <w:bCs/>
                <w:color w:val="000000"/>
              </w:rPr>
              <w:t>Refer to the current product information sheet for further information.</w:t>
            </w:r>
          </w:p>
        </w:tc>
        <w:tc>
          <w:tcPr>
            <w:tcW w:w="3969" w:type="dxa"/>
          </w:tcPr>
          <w:p w14:paraId="30A70560" w14:textId="7F8E9A70" w:rsidR="007D5F16" w:rsidRPr="00CE1966" w:rsidRDefault="007D5F16" w:rsidP="007342DB">
            <w:pPr>
              <w:spacing w:after="240" w:line="20" w:lineRule="atLeast"/>
              <w:rPr>
                <w:rFonts w:asciiTheme="minorHAnsi" w:eastAsia="Times New Roman" w:hAnsiTheme="minorHAnsi" w:cstheme="minorHAnsi"/>
                <w:color w:val="000000"/>
              </w:rPr>
            </w:pPr>
            <w:r>
              <w:rPr>
                <w:rFonts w:asciiTheme="minorHAnsi" w:eastAsia="Times New Roman" w:hAnsiTheme="minorHAnsi" w:cstheme="minorHAnsi"/>
                <w:color w:val="000000"/>
              </w:rPr>
              <w:lastRenderedPageBreak/>
              <w:t xml:space="preserve">Dosing is unchanged. </w:t>
            </w:r>
          </w:p>
        </w:tc>
      </w:tr>
      <w:tr w:rsidR="00C9318E" w:rsidRPr="00C9318E" w14:paraId="609A5552" w14:textId="77777777" w:rsidTr="00C9318E">
        <w:trPr>
          <w:gridBefore w:val="2"/>
          <w:gridAfter w:val="1"/>
          <w:wBefore w:w="33" w:type="dxa"/>
          <w:wAfter w:w="12" w:type="dxa"/>
        </w:trPr>
        <w:tc>
          <w:tcPr>
            <w:tcW w:w="14850" w:type="dxa"/>
            <w:gridSpan w:val="6"/>
            <w:shd w:val="clear" w:color="auto" w:fill="DBE5F1" w:themeFill="accent1" w:themeFillTint="33"/>
          </w:tcPr>
          <w:p w14:paraId="229C489C" w14:textId="05EB29EB" w:rsidR="00C9318E" w:rsidRPr="00C9318E" w:rsidRDefault="003505E4" w:rsidP="00D51056">
            <w:pPr>
              <w:spacing w:before="100" w:beforeAutospacing="1" w:after="100" w:afterAutospacing="1" w:line="360" w:lineRule="atLeast"/>
              <w:jc w:val="center"/>
              <w:rPr>
                <w:rFonts w:asciiTheme="minorHAnsi" w:eastAsia="Times New Roman" w:hAnsiTheme="minorHAnsi" w:cs="Times New Roman"/>
                <w:b/>
                <w:color w:val="000000"/>
                <w:lang w:val="en" w:eastAsia="en-AU"/>
              </w:rPr>
            </w:pPr>
            <w:r>
              <w:rPr>
                <w:rFonts w:asciiTheme="minorHAnsi" w:eastAsia="Times New Roman" w:hAnsiTheme="minorHAnsi" w:cs="Times New Roman"/>
                <w:b/>
                <w:color w:val="000000"/>
                <w:lang w:val="en" w:eastAsia="en-AU"/>
              </w:rPr>
              <w:lastRenderedPageBreak/>
              <w:t>BIBLIOGRAPHY</w:t>
            </w:r>
          </w:p>
        </w:tc>
      </w:tr>
      <w:tr w:rsidR="003505E4" w:rsidRPr="00C9318E" w14:paraId="5C7B0B91" w14:textId="77777777" w:rsidTr="003505E4">
        <w:trPr>
          <w:gridBefore w:val="2"/>
          <w:gridAfter w:val="1"/>
          <w:wBefore w:w="33" w:type="dxa"/>
          <w:wAfter w:w="12" w:type="dxa"/>
        </w:trPr>
        <w:tc>
          <w:tcPr>
            <w:tcW w:w="14850" w:type="dxa"/>
            <w:gridSpan w:val="6"/>
            <w:shd w:val="clear" w:color="auto" w:fill="auto"/>
          </w:tcPr>
          <w:p w14:paraId="095D5463" w14:textId="3FD99C56" w:rsidR="003505E4" w:rsidRPr="00C9318E" w:rsidRDefault="003505E4" w:rsidP="003505E4">
            <w:pPr>
              <w:spacing w:before="100" w:beforeAutospacing="1" w:after="100" w:afterAutospacing="1" w:line="360" w:lineRule="atLeast"/>
              <w:rPr>
                <w:rFonts w:asciiTheme="minorHAnsi" w:eastAsia="Times New Roman" w:hAnsiTheme="minorHAnsi" w:cs="Times New Roman"/>
                <w:b/>
                <w:color w:val="000000"/>
                <w:lang w:val="en" w:eastAsia="en-AU"/>
              </w:rPr>
            </w:pPr>
            <w:proofErr w:type="spellStart"/>
            <w:r>
              <w:rPr>
                <w:rFonts w:ascii="Open Sans" w:hAnsi="Open Sans" w:cs="Helvetica"/>
                <w:color w:val="333333"/>
                <w:sz w:val="21"/>
                <w:szCs w:val="21"/>
              </w:rPr>
              <w:t>Bheng</w:t>
            </w:r>
            <w:proofErr w:type="spellEnd"/>
            <w:r>
              <w:rPr>
                <w:rFonts w:ascii="Open Sans" w:hAnsi="Open Sans" w:cs="Helvetica"/>
                <w:color w:val="333333"/>
                <w:sz w:val="21"/>
                <w:szCs w:val="21"/>
              </w:rPr>
              <w:t xml:space="preserve">, YK, Decker, PA, O’Byrne, MM, et al 2006, ‘Clinical and Laboratory characteristics of 75 patients with specific Polysaccharide antibody deficiency syndrome’, </w:t>
            </w:r>
            <w:r>
              <w:rPr>
                <w:rStyle w:val="Emphasis"/>
                <w:rFonts w:ascii="Open Sans" w:hAnsi="Open Sans" w:cs="Helvetica"/>
                <w:color w:val="333333"/>
                <w:sz w:val="21"/>
                <w:szCs w:val="21"/>
              </w:rPr>
              <w:t>Annals of Allergy, Asthma and Immunology</w:t>
            </w:r>
            <w:r>
              <w:rPr>
                <w:rFonts w:ascii="Open Sans" w:hAnsi="Open Sans" w:cs="Helvetica"/>
                <w:color w:val="333333"/>
                <w:sz w:val="21"/>
                <w:szCs w:val="21"/>
              </w:rPr>
              <w:t>, vol. 97, no. 3, pp. 306–11.</w:t>
            </w:r>
            <w:r>
              <w:rPr>
                <w:rFonts w:ascii="Open Sans" w:hAnsi="Open Sans" w:cs="Helvetica"/>
                <w:color w:val="333333"/>
                <w:sz w:val="21"/>
                <w:szCs w:val="21"/>
              </w:rPr>
              <w:br/>
              <w:t xml:space="preserve">Bonilla, FA, Bernstein, L, Khan, DA, et al 2005, ‘Practice parameter for the diagnosis and management of primary immunodeficiency’, </w:t>
            </w:r>
            <w:r>
              <w:rPr>
                <w:rStyle w:val="Emphasis"/>
                <w:rFonts w:ascii="Open Sans" w:hAnsi="Open Sans" w:cs="Helvetica"/>
                <w:color w:val="333333"/>
                <w:sz w:val="21"/>
                <w:szCs w:val="21"/>
              </w:rPr>
              <w:t>Annals of Allergy, Asthma and Immunology</w:t>
            </w:r>
            <w:r>
              <w:rPr>
                <w:rFonts w:ascii="Open Sans" w:hAnsi="Open Sans" w:cs="Helvetica"/>
                <w:color w:val="333333"/>
                <w:sz w:val="21"/>
                <w:szCs w:val="21"/>
              </w:rPr>
              <w:t>, vol. 94, no. 5, suppl. 1, pp. S1–63.</w:t>
            </w:r>
            <w:r>
              <w:rPr>
                <w:rFonts w:ascii="Open Sans" w:hAnsi="Open Sans" w:cs="Helvetica"/>
                <w:color w:val="333333"/>
                <w:sz w:val="21"/>
                <w:szCs w:val="21"/>
              </w:rPr>
              <w:br/>
            </w:r>
            <w:proofErr w:type="spellStart"/>
            <w:r>
              <w:rPr>
                <w:rFonts w:ascii="Open Sans" w:hAnsi="Open Sans" w:cs="Helvetica"/>
                <w:color w:val="333333"/>
                <w:sz w:val="21"/>
                <w:szCs w:val="21"/>
              </w:rPr>
              <w:t>Borgers</w:t>
            </w:r>
            <w:proofErr w:type="spellEnd"/>
            <w:r>
              <w:rPr>
                <w:rFonts w:ascii="Open Sans" w:hAnsi="Open Sans" w:cs="Helvetica"/>
                <w:color w:val="333333"/>
                <w:sz w:val="21"/>
                <w:szCs w:val="21"/>
              </w:rPr>
              <w:t xml:space="preserve">, H, </w:t>
            </w:r>
            <w:proofErr w:type="spellStart"/>
            <w:r>
              <w:rPr>
                <w:rFonts w:ascii="Open Sans" w:hAnsi="Open Sans" w:cs="Helvetica"/>
                <w:color w:val="333333"/>
                <w:sz w:val="21"/>
                <w:szCs w:val="21"/>
              </w:rPr>
              <w:t>Meyts</w:t>
            </w:r>
            <w:proofErr w:type="spellEnd"/>
            <w:r>
              <w:rPr>
                <w:rFonts w:ascii="Open Sans" w:hAnsi="Open Sans" w:cs="Helvetica"/>
                <w:color w:val="333333"/>
                <w:sz w:val="21"/>
                <w:szCs w:val="21"/>
              </w:rPr>
              <w:t xml:space="preserve">, I, De </w:t>
            </w:r>
            <w:proofErr w:type="spellStart"/>
            <w:r>
              <w:rPr>
                <w:rFonts w:ascii="Open Sans" w:hAnsi="Open Sans" w:cs="Helvetica"/>
                <w:color w:val="333333"/>
                <w:sz w:val="21"/>
                <w:szCs w:val="21"/>
              </w:rPr>
              <w:t>Boeck</w:t>
            </w:r>
            <w:proofErr w:type="spellEnd"/>
            <w:r>
              <w:rPr>
                <w:rFonts w:ascii="Open Sans" w:hAnsi="Open Sans" w:cs="Helvetica"/>
                <w:color w:val="333333"/>
                <w:sz w:val="21"/>
                <w:szCs w:val="21"/>
              </w:rPr>
              <w:t xml:space="preserve">, K et al 2012, ‘Fold-increase in antibody </w:t>
            </w:r>
            <w:proofErr w:type="spellStart"/>
            <w:r>
              <w:rPr>
                <w:rFonts w:ascii="Open Sans" w:hAnsi="Open Sans" w:cs="Helvetica"/>
                <w:color w:val="333333"/>
                <w:sz w:val="21"/>
                <w:szCs w:val="21"/>
              </w:rPr>
              <w:t>titer</w:t>
            </w:r>
            <w:proofErr w:type="spellEnd"/>
            <w:r>
              <w:rPr>
                <w:rFonts w:ascii="Open Sans" w:hAnsi="Open Sans" w:cs="Helvetica"/>
                <w:color w:val="333333"/>
                <w:sz w:val="21"/>
                <w:szCs w:val="21"/>
              </w:rPr>
              <w:t xml:space="preserve"> upon vaccination with pneumococcal unconjugated polysaccharide vaccine’, </w:t>
            </w:r>
            <w:r>
              <w:rPr>
                <w:rStyle w:val="Emphasis"/>
                <w:rFonts w:ascii="Open Sans" w:hAnsi="Open Sans" w:cs="Helvetica"/>
                <w:color w:val="333333"/>
                <w:sz w:val="21"/>
                <w:szCs w:val="21"/>
              </w:rPr>
              <w:t>Clinical Immunology</w:t>
            </w:r>
            <w:r>
              <w:rPr>
                <w:rFonts w:ascii="Open Sans" w:hAnsi="Open Sans" w:cs="Helvetica"/>
                <w:color w:val="333333"/>
                <w:sz w:val="21"/>
                <w:szCs w:val="21"/>
              </w:rPr>
              <w:t>, vol. 145, pp. 136–8.</w:t>
            </w:r>
            <w:r>
              <w:rPr>
                <w:rFonts w:ascii="Open Sans" w:hAnsi="Open Sans" w:cs="Helvetica"/>
                <w:color w:val="333333"/>
                <w:sz w:val="21"/>
                <w:szCs w:val="21"/>
              </w:rPr>
              <w:br/>
              <w:t xml:space="preserve">Boyle, RJ, Le, C, </w:t>
            </w:r>
            <w:proofErr w:type="spellStart"/>
            <w:r>
              <w:rPr>
                <w:rFonts w:ascii="Open Sans" w:hAnsi="Open Sans" w:cs="Helvetica"/>
                <w:color w:val="333333"/>
                <w:sz w:val="21"/>
                <w:szCs w:val="21"/>
              </w:rPr>
              <w:t>Balloch</w:t>
            </w:r>
            <w:proofErr w:type="spellEnd"/>
            <w:r>
              <w:rPr>
                <w:rFonts w:ascii="Open Sans" w:hAnsi="Open Sans" w:cs="Helvetica"/>
                <w:color w:val="333333"/>
                <w:sz w:val="21"/>
                <w:szCs w:val="21"/>
              </w:rPr>
              <w:t xml:space="preserve">, A, et al 2006, ‘The clinical syndrome of specific antibody deficiency in children’, </w:t>
            </w:r>
            <w:r>
              <w:rPr>
                <w:rStyle w:val="Emphasis"/>
                <w:rFonts w:ascii="Open Sans" w:hAnsi="Open Sans" w:cs="Helvetica"/>
                <w:color w:val="333333"/>
                <w:sz w:val="21"/>
                <w:szCs w:val="21"/>
              </w:rPr>
              <w:t>Clinical and Experimental Immunology</w:t>
            </w:r>
            <w:r>
              <w:rPr>
                <w:rFonts w:ascii="Open Sans" w:hAnsi="Open Sans" w:cs="Helvetica"/>
                <w:color w:val="333333"/>
                <w:sz w:val="21"/>
                <w:szCs w:val="21"/>
              </w:rPr>
              <w:t>, vol. 146, pp. 486–92.</w:t>
            </w:r>
            <w:r>
              <w:rPr>
                <w:rFonts w:ascii="Open Sans" w:hAnsi="Open Sans" w:cs="Helvetica"/>
                <w:color w:val="333333"/>
                <w:sz w:val="21"/>
                <w:szCs w:val="21"/>
              </w:rPr>
              <w:br/>
              <w:t xml:space="preserve">Chang, AB, Bell, SC, Byrnes, CA et al 2010, ‘Chronic </w:t>
            </w:r>
            <w:proofErr w:type="spellStart"/>
            <w:r>
              <w:rPr>
                <w:rFonts w:ascii="Open Sans" w:hAnsi="Open Sans" w:cs="Helvetica"/>
                <w:color w:val="333333"/>
                <w:sz w:val="21"/>
                <w:szCs w:val="21"/>
              </w:rPr>
              <w:t>suppurative</w:t>
            </w:r>
            <w:proofErr w:type="spellEnd"/>
            <w:r>
              <w:rPr>
                <w:rFonts w:ascii="Open Sans" w:hAnsi="Open Sans" w:cs="Helvetica"/>
                <w:color w:val="333333"/>
                <w:sz w:val="21"/>
                <w:szCs w:val="21"/>
              </w:rPr>
              <w:t xml:space="preserve"> lung disease and bronchiectasis in children and adults in Australia and New Zealand’, </w:t>
            </w:r>
            <w:r>
              <w:rPr>
                <w:rStyle w:val="Emphasis"/>
                <w:rFonts w:ascii="Open Sans" w:hAnsi="Open Sans" w:cs="Helvetica"/>
                <w:color w:val="333333"/>
                <w:sz w:val="21"/>
                <w:szCs w:val="21"/>
              </w:rPr>
              <w:t>Medical Journal of Australia</w:t>
            </w:r>
            <w:r>
              <w:rPr>
                <w:rFonts w:ascii="Open Sans" w:hAnsi="Open Sans" w:cs="Helvetica"/>
                <w:color w:val="333333"/>
                <w:sz w:val="21"/>
                <w:szCs w:val="21"/>
              </w:rPr>
              <w:t>, vol. 193, pp. 356–65.</w:t>
            </w:r>
            <w:r>
              <w:rPr>
                <w:rFonts w:ascii="Open Sans" w:hAnsi="Open Sans" w:cs="Helvetica"/>
                <w:color w:val="333333"/>
                <w:sz w:val="21"/>
                <w:szCs w:val="21"/>
              </w:rPr>
              <w:br/>
              <w:t xml:space="preserve">Hare, ND, Smith, BJ &amp; </w:t>
            </w:r>
            <w:proofErr w:type="spellStart"/>
            <w:r>
              <w:rPr>
                <w:rFonts w:ascii="Open Sans" w:hAnsi="Open Sans" w:cs="Helvetica"/>
                <w:color w:val="333333"/>
                <w:sz w:val="21"/>
                <w:szCs w:val="21"/>
              </w:rPr>
              <w:t>Ballas</w:t>
            </w:r>
            <w:proofErr w:type="spellEnd"/>
            <w:r>
              <w:rPr>
                <w:rFonts w:ascii="Open Sans" w:hAnsi="Open Sans" w:cs="Helvetica"/>
                <w:color w:val="333333"/>
                <w:sz w:val="21"/>
                <w:szCs w:val="21"/>
              </w:rPr>
              <w:t xml:space="preserve">, ZK 2009, ‘Antibody response to pneumococcal vaccination as a function of pre-immunization </w:t>
            </w:r>
            <w:proofErr w:type="spellStart"/>
            <w:r>
              <w:rPr>
                <w:rFonts w:ascii="Open Sans" w:hAnsi="Open Sans" w:cs="Helvetica"/>
                <w:color w:val="333333"/>
                <w:sz w:val="21"/>
                <w:szCs w:val="21"/>
              </w:rPr>
              <w:t>titer</w:t>
            </w:r>
            <w:proofErr w:type="spellEnd"/>
            <w:r>
              <w:rPr>
                <w:rFonts w:ascii="Open Sans" w:hAnsi="Open Sans" w:cs="Helvetica"/>
                <w:color w:val="333333"/>
                <w:sz w:val="21"/>
                <w:szCs w:val="21"/>
              </w:rPr>
              <w:t xml:space="preserve">’, </w:t>
            </w:r>
            <w:r>
              <w:rPr>
                <w:rStyle w:val="Emphasis"/>
                <w:rFonts w:ascii="Open Sans" w:hAnsi="Open Sans" w:cs="Helvetica"/>
                <w:color w:val="333333"/>
                <w:sz w:val="21"/>
                <w:szCs w:val="21"/>
              </w:rPr>
              <w:t>Journal of Allergy and Clinical Immunology</w:t>
            </w:r>
            <w:r>
              <w:rPr>
                <w:rFonts w:ascii="Open Sans" w:hAnsi="Open Sans" w:cs="Helvetica"/>
                <w:color w:val="333333"/>
                <w:sz w:val="21"/>
                <w:szCs w:val="21"/>
              </w:rPr>
              <w:t>, vol. 123, pp. 195–200.</w:t>
            </w:r>
            <w:r>
              <w:rPr>
                <w:rFonts w:ascii="Open Sans" w:hAnsi="Open Sans" w:cs="Helvetica"/>
                <w:color w:val="333333"/>
                <w:sz w:val="21"/>
                <w:szCs w:val="21"/>
              </w:rPr>
              <w:br/>
              <w:t xml:space="preserve">O’Brien, KL, </w:t>
            </w:r>
            <w:proofErr w:type="spellStart"/>
            <w:r>
              <w:rPr>
                <w:rFonts w:ascii="Open Sans" w:hAnsi="Open Sans" w:cs="Helvetica"/>
                <w:color w:val="333333"/>
                <w:sz w:val="21"/>
                <w:szCs w:val="21"/>
              </w:rPr>
              <w:t>Hochman</w:t>
            </w:r>
            <w:proofErr w:type="spellEnd"/>
            <w:r>
              <w:rPr>
                <w:rFonts w:ascii="Open Sans" w:hAnsi="Open Sans" w:cs="Helvetica"/>
                <w:color w:val="333333"/>
                <w:sz w:val="21"/>
                <w:szCs w:val="21"/>
              </w:rPr>
              <w:t xml:space="preserve">, M &amp; </w:t>
            </w:r>
            <w:proofErr w:type="spellStart"/>
            <w:r>
              <w:rPr>
                <w:rFonts w:ascii="Open Sans" w:hAnsi="Open Sans" w:cs="Helvetica"/>
                <w:color w:val="333333"/>
                <w:sz w:val="21"/>
                <w:szCs w:val="21"/>
              </w:rPr>
              <w:t>Goldblatt</w:t>
            </w:r>
            <w:proofErr w:type="spellEnd"/>
            <w:r>
              <w:rPr>
                <w:rFonts w:ascii="Open Sans" w:hAnsi="Open Sans" w:cs="Helvetica"/>
                <w:color w:val="333333"/>
                <w:sz w:val="21"/>
                <w:szCs w:val="21"/>
              </w:rPr>
              <w:t xml:space="preserve">, D 2007, ‘Combined schedules of pneumococcal conjugate and polysaccharide vaccines: is </w:t>
            </w:r>
            <w:proofErr w:type="spellStart"/>
            <w:r>
              <w:rPr>
                <w:rFonts w:ascii="Open Sans" w:hAnsi="Open Sans" w:cs="Helvetica"/>
                <w:color w:val="333333"/>
                <w:sz w:val="21"/>
                <w:szCs w:val="21"/>
              </w:rPr>
              <w:t>hyporesponsiveness</w:t>
            </w:r>
            <w:proofErr w:type="spellEnd"/>
            <w:r>
              <w:rPr>
                <w:rFonts w:ascii="Open Sans" w:hAnsi="Open Sans" w:cs="Helvetica"/>
                <w:color w:val="333333"/>
                <w:sz w:val="21"/>
                <w:szCs w:val="21"/>
              </w:rPr>
              <w:t xml:space="preserve"> an issue?’ </w:t>
            </w:r>
            <w:r>
              <w:rPr>
                <w:rStyle w:val="Emphasis"/>
                <w:rFonts w:ascii="Open Sans" w:hAnsi="Open Sans" w:cs="Helvetica"/>
                <w:color w:val="333333"/>
                <w:sz w:val="21"/>
                <w:szCs w:val="21"/>
              </w:rPr>
              <w:t xml:space="preserve">Lancet </w:t>
            </w:r>
            <w:r>
              <w:rPr>
                <w:rStyle w:val="Emphasis"/>
                <w:rFonts w:ascii="Open Sans" w:hAnsi="Open Sans" w:cs="Helvetica"/>
                <w:color w:val="333333"/>
                <w:sz w:val="21"/>
                <w:szCs w:val="21"/>
              </w:rPr>
              <w:lastRenderedPageBreak/>
              <w:t>Infectious Diseases</w:t>
            </w:r>
            <w:r>
              <w:rPr>
                <w:rFonts w:ascii="Open Sans" w:hAnsi="Open Sans" w:cs="Helvetica"/>
                <w:color w:val="333333"/>
                <w:sz w:val="21"/>
                <w:szCs w:val="21"/>
              </w:rPr>
              <w:t>, vol. 7, no. 9, pp. 597–606.</w:t>
            </w:r>
            <w:r>
              <w:rPr>
                <w:rFonts w:ascii="Open Sans" w:hAnsi="Open Sans" w:cs="Helvetica"/>
                <w:color w:val="333333"/>
                <w:sz w:val="21"/>
                <w:szCs w:val="21"/>
              </w:rPr>
              <w:br/>
              <w:t xml:space="preserve">Orange, JS, </w:t>
            </w:r>
            <w:proofErr w:type="spellStart"/>
            <w:r>
              <w:rPr>
                <w:rFonts w:ascii="Open Sans" w:hAnsi="Open Sans" w:cs="Helvetica"/>
                <w:color w:val="333333"/>
                <w:sz w:val="21"/>
                <w:szCs w:val="21"/>
              </w:rPr>
              <w:t>Hossny</w:t>
            </w:r>
            <w:proofErr w:type="spellEnd"/>
            <w:r>
              <w:rPr>
                <w:rFonts w:ascii="Open Sans" w:hAnsi="Open Sans" w:cs="Helvetica"/>
                <w:color w:val="333333"/>
                <w:sz w:val="21"/>
                <w:szCs w:val="21"/>
              </w:rPr>
              <w:t xml:space="preserve">, EM, </w:t>
            </w:r>
            <w:proofErr w:type="spellStart"/>
            <w:r>
              <w:rPr>
                <w:rFonts w:ascii="Open Sans" w:hAnsi="Open Sans" w:cs="Helvetica"/>
                <w:color w:val="333333"/>
                <w:sz w:val="21"/>
                <w:szCs w:val="21"/>
              </w:rPr>
              <w:t>Weiler</w:t>
            </w:r>
            <w:proofErr w:type="spellEnd"/>
            <w:r>
              <w:rPr>
                <w:rFonts w:ascii="Open Sans" w:hAnsi="Open Sans" w:cs="Helvetica"/>
                <w:color w:val="333333"/>
                <w:sz w:val="21"/>
                <w:szCs w:val="21"/>
              </w:rPr>
              <w:t xml:space="preserve">, CR, et al 2006, ‘Use of intravenous immunoglobulin in human disease: A review of primary evidence by members of the Primary Immunodeficiency Committee of the American Academy of Allergy, Asthma and Immunology’, </w:t>
            </w:r>
            <w:r>
              <w:rPr>
                <w:rStyle w:val="Emphasis"/>
                <w:rFonts w:ascii="Open Sans" w:hAnsi="Open Sans" w:cs="Helvetica"/>
                <w:color w:val="333333"/>
                <w:sz w:val="21"/>
                <w:szCs w:val="21"/>
              </w:rPr>
              <w:t>Journal of Allergy and Clinical Immunology</w:t>
            </w:r>
            <w:r>
              <w:rPr>
                <w:rFonts w:ascii="Open Sans" w:hAnsi="Open Sans" w:cs="Helvetica"/>
                <w:color w:val="333333"/>
                <w:sz w:val="21"/>
                <w:szCs w:val="21"/>
              </w:rPr>
              <w:t>, vol. 117, no. 4, pp. S525–53.</w:t>
            </w:r>
          </w:p>
        </w:tc>
      </w:tr>
      <w:tr w:rsidR="003505E4" w:rsidRPr="00C9318E" w14:paraId="54C3F1BD" w14:textId="77777777" w:rsidTr="00C9318E">
        <w:trPr>
          <w:gridBefore w:val="2"/>
          <w:gridAfter w:val="1"/>
          <w:wBefore w:w="33" w:type="dxa"/>
          <w:wAfter w:w="12" w:type="dxa"/>
        </w:trPr>
        <w:tc>
          <w:tcPr>
            <w:tcW w:w="14850" w:type="dxa"/>
            <w:gridSpan w:val="6"/>
            <w:shd w:val="clear" w:color="auto" w:fill="DBE5F1" w:themeFill="accent1" w:themeFillTint="33"/>
          </w:tcPr>
          <w:p w14:paraId="42CD3054" w14:textId="68830888" w:rsidR="003505E4" w:rsidRPr="00C9318E" w:rsidRDefault="003505E4" w:rsidP="00D51056">
            <w:pPr>
              <w:spacing w:before="100" w:beforeAutospacing="1" w:after="100" w:afterAutospacing="1" w:line="360" w:lineRule="atLeast"/>
              <w:jc w:val="center"/>
              <w:rPr>
                <w:rFonts w:asciiTheme="minorHAnsi" w:eastAsia="Times New Roman" w:hAnsiTheme="minorHAnsi" w:cs="Times New Roman"/>
                <w:b/>
                <w:color w:val="000000"/>
                <w:lang w:val="en" w:eastAsia="en-AU"/>
              </w:rPr>
            </w:pPr>
            <w:r w:rsidRPr="00C9318E">
              <w:rPr>
                <w:rFonts w:asciiTheme="minorHAnsi" w:eastAsia="Times New Roman" w:hAnsiTheme="minorHAnsi" w:cs="Times New Roman"/>
                <w:b/>
                <w:color w:val="000000"/>
                <w:lang w:val="en" w:eastAsia="en-AU"/>
              </w:rPr>
              <w:lastRenderedPageBreak/>
              <w:t>END OF DOCUMENT</w:t>
            </w:r>
          </w:p>
        </w:tc>
      </w:tr>
    </w:tbl>
    <w:p w14:paraId="74C4E9DE" w14:textId="77777777" w:rsidR="009715A9" w:rsidRPr="00CE1966" w:rsidRDefault="009715A9" w:rsidP="00C9318E">
      <w:pPr>
        <w:spacing w:before="100" w:beforeAutospacing="1" w:after="100" w:afterAutospacing="1" w:line="360" w:lineRule="atLeast"/>
        <w:rPr>
          <w:rFonts w:asciiTheme="minorHAnsi" w:eastAsia="Times New Roman" w:hAnsiTheme="minorHAnsi" w:cs="Times New Roman"/>
          <w:color w:val="000000"/>
          <w:lang w:val="en" w:eastAsia="en-AU"/>
        </w:rPr>
      </w:pPr>
    </w:p>
    <w:sectPr w:rsidR="009715A9" w:rsidRPr="00CE1966" w:rsidSect="007D5F16">
      <w:headerReference w:type="even" r:id="rId15"/>
      <w:footerReference w:type="default" r:id="rId16"/>
      <w:pgSz w:w="16838" w:h="11906" w:orient="landscape" w:code="8"/>
      <w:pgMar w:top="720" w:right="720" w:bottom="720" w:left="720" w:header="708" w:footer="1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E36FC" w14:textId="77777777" w:rsidR="009A04BB" w:rsidRDefault="009A04BB" w:rsidP="00856708">
      <w:pPr>
        <w:spacing w:after="0"/>
      </w:pPr>
      <w:r>
        <w:separator/>
      </w:r>
    </w:p>
  </w:endnote>
  <w:endnote w:type="continuationSeparator" w:id="0">
    <w:p w14:paraId="13ED0A6E" w14:textId="77777777" w:rsidR="009A04BB" w:rsidRDefault="009A04BB"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Condensed">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haker2Lancet-BoldItalic">
    <w:panose1 w:val="00000000000000000000"/>
    <w:charset w:val="00"/>
    <w:family w:val="auto"/>
    <w:notTrueType/>
    <w:pitch w:val="default"/>
    <w:sig w:usb0="00000003" w:usb1="00000000" w:usb2="00000000" w:usb3="00000000" w:csb0="00000001" w:csb1="00000000"/>
  </w:font>
  <w:font w:name="Shaker2Lancet-Bold">
    <w:panose1 w:val="00000000000000000000"/>
    <w:charset w:val="00"/>
    <w:family w:val="auto"/>
    <w:notTrueType/>
    <w:pitch w:val="default"/>
    <w:sig w:usb0="00000003" w:usb1="00000000" w:usb2="00000000" w:usb3="00000000" w:csb0="00000001"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23FB5" w14:textId="77777777" w:rsidR="009A04BB" w:rsidRPr="00856708" w:rsidRDefault="009A04BB" w:rsidP="00AF650A">
    <w:pPr>
      <w:pStyle w:val="Footer"/>
      <w:tabs>
        <w:tab w:val="clear" w:pos="9026"/>
        <w:tab w:val="right" w:pos="14034"/>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3505E4">
      <w:rPr>
        <w:noProof/>
        <w:sz w:val="20"/>
        <w:szCs w:val="20"/>
      </w:rPr>
      <w:t>16</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CD9D1" w14:textId="77777777" w:rsidR="009A04BB" w:rsidRDefault="009A04BB" w:rsidP="00856708">
      <w:pPr>
        <w:spacing w:after="0"/>
      </w:pPr>
      <w:r>
        <w:separator/>
      </w:r>
    </w:p>
  </w:footnote>
  <w:footnote w:type="continuationSeparator" w:id="0">
    <w:p w14:paraId="70AA764E" w14:textId="77777777" w:rsidR="009A04BB" w:rsidRDefault="009A04BB"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905DD" w14:textId="77777777" w:rsidR="009A04BB" w:rsidRDefault="003505E4">
    <w:pPr>
      <w:pStyle w:val="Header"/>
    </w:pPr>
    <w:sdt>
      <w:sdtPr>
        <w:id w:val="171999623"/>
        <w:placeholder>
          <w:docPart w:val="4318DC39B0B5714AA1272BAEF2DE62E2"/>
        </w:placeholder>
        <w:temporary/>
        <w:showingPlcHdr/>
      </w:sdtPr>
      <w:sdtEndPr/>
      <w:sdtContent>
        <w:r w:rsidR="009A04BB">
          <w:t>[Type text]</w:t>
        </w:r>
      </w:sdtContent>
    </w:sdt>
    <w:r w:rsidR="009A04BB">
      <w:ptab w:relativeTo="margin" w:alignment="center" w:leader="none"/>
    </w:r>
    <w:sdt>
      <w:sdtPr>
        <w:id w:val="171999624"/>
        <w:placeholder>
          <w:docPart w:val="255F24039E3CD646BF4EC89E9F52221B"/>
        </w:placeholder>
        <w:temporary/>
        <w:showingPlcHdr/>
      </w:sdtPr>
      <w:sdtEndPr/>
      <w:sdtContent>
        <w:r w:rsidR="009A04BB">
          <w:t>[Type text]</w:t>
        </w:r>
      </w:sdtContent>
    </w:sdt>
    <w:r w:rsidR="009A04BB">
      <w:ptab w:relativeTo="margin" w:alignment="right" w:leader="none"/>
    </w:r>
    <w:sdt>
      <w:sdtPr>
        <w:id w:val="171999625"/>
        <w:placeholder>
          <w:docPart w:val="B2E672F6A46DC34D85472E78455D4ECB"/>
        </w:placeholder>
        <w:temporary/>
        <w:showingPlcHdr/>
      </w:sdtPr>
      <w:sdtEndPr/>
      <w:sdtContent>
        <w:r w:rsidR="009A04BB">
          <w:t>[Type text]</w:t>
        </w:r>
      </w:sdtContent>
    </w:sdt>
  </w:p>
  <w:p w14:paraId="2302CF7F" w14:textId="77777777" w:rsidR="009A04BB" w:rsidRDefault="009A04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AA658F"/>
    <w:multiLevelType w:val="hybridMultilevel"/>
    <w:tmpl w:val="B2DACC6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3306C60"/>
    <w:multiLevelType w:val="hybridMultilevel"/>
    <w:tmpl w:val="DBE2048E"/>
    <w:lvl w:ilvl="0" w:tplc="EF9CCCE6">
      <w:start w:val="1"/>
      <w:numFmt w:val="decimal"/>
      <w:lvlText w:val="%1."/>
      <w:lvlJc w:val="left"/>
      <w:pPr>
        <w:ind w:left="360" w:hanging="360"/>
      </w:pPr>
      <w:rPr>
        <w:rFonts w:cs="Times New Roman"/>
        <w:b w:val="0"/>
        <w:sz w:val="18"/>
        <w:szCs w:val="18"/>
      </w:rPr>
    </w:lvl>
    <w:lvl w:ilvl="1" w:tplc="2F6E1930">
      <w:start w:val="1"/>
      <w:numFmt w:val="bullet"/>
      <w:lvlText w:val=""/>
      <w:lvlJc w:val="left"/>
      <w:pPr>
        <w:ind w:left="1080" w:hanging="360"/>
      </w:pPr>
      <w:rPr>
        <w:rFonts w:ascii="Symbol" w:hAnsi="Symbol" w:hint="default"/>
        <w:b w:val="0"/>
        <w:sz w:val="18"/>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8">
    <w:nsid w:val="0A4C4016"/>
    <w:multiLevelType w:val="multilevel"/>
    <w:tmpl w:val="7AC42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AD94569"/>
    <w:multiLevelType w:val="hybridMultilevel"/>
    <w:tmpl w:val="748453D2"/>
    <w:lvl w:ilvl="0" w:tplc="0A9C568C">
      <w:start w:val="1"/>
      <w:numFmt w:val="decimal"/>
      <w:lvlText w:val="%1."/>
      <w:lvlJc w:val="left"/>
      <w:pPr>
        <w:ind w:left="720" w:hanging="360"/>
      </w:pPr>
      <w:rPr>
        <w:rFonts w:ascii="Calibri" w:eastAsia="Dotum" w:hAnsi="Calibri" w:cs="Calibri"/>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nsid w:val="0C3876F0"/>
    <w:multiLevelType w:val="hybridMultilevel"/>
    <w:tmpl w:val="0444FE2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83C704C"/>
    <w:multiLevelType w:val="hybridMultilevel"/>
    <w:tmpl w:val="C4AA3DFA"/>
    <w:lvl w:ilvl="0" w:tplc="04090001">
      <w:start w:val="1"/>
      <w:numFmt w:val="bullet"/>
      <w:lvlText w:val=""/>
      <w:lvlJc w:val="left"/>
      <w:pPr>
        <w:ind w:left="720" w:hanging="360"/>
      </w:pPr>
      <w:rPr>
        <w:rFonts w:ascii="Symbol" w:hAnsi="Symbol" w:hint="default"/>
        <w:sz w:val="18"/>
        <w:szCs w:val="1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8FE6F5D"/>
    <w:multiLevelType w:val="multilevel"/>
    <w:tmpl w:val="24AADF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FE7B46"/>
    <w:multiLevelType w:val="multilevel"/>
    <w:tmpl w:val="1214C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B82C82"/>
    <w:multiLevelType w:val="hybridMultilevel"/>
    <w:tmpl w:val="8ADE0D56"/>
    <w:lvl w:ilvl="0" w:tplc="0409001B">
      <w:start w:val="1"/>
      <w:numFmt w:val="low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26843D56"/>
    <w:multiLevelType w:val="multilevel"/>
    <w:tmpl w:val="9A4A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C06A03"/>
    <w:multiLevelType w:val="hybridMultilevel"/>
    <w:tmpl w:val="67406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B145EDD"/>
    <w:multiLevelType w:val="multilevel"/>
    <w:tmpl w:val="2820D4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AC6B04"/>
    <w:multiLevelType w:val="hybridMultilevel"/>
    <w:tmpl w:val="A74213EA"/>
    <w:lvl w:ilvl="0" w:tplc="0C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nsid w:val="32B877CF"/>
    <w:multiLevelType w:val="hybridMultilevel"/>
    <w:tmpl w:val="49467B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568D95E">
      <w:numFmt w:val="bullet"/>
      <w:lvlText w:val="-"/>
      <w:lvlJc w:val="left"/>
      <w:pPr>
        <w:ind w:left="4140" w:hanging="360"/>
      </w:pPr>
      <w:rPr>
        <w:rFonts w:ascii="Calibri" w:eastAsia="Dotum" w:hAnsi="Calibri" w:cs="Calibri"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353033BB"/>
    <w:multiLevelType w:val="multilevel"/>
    <w:tmpl w:val="7734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7544C3"/>
    <w:multiLevelType w:val="multilevel"/>
    <w:tmpl w:val="5574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7F074E"/>
    <w:multiLevelType w:val="multilevel"/>
    <w:tmpl w:val="E42C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635EE8"/>
    <w:multiLevelType w:val="hybridMultilevel"/>
    <w:tmpl w:val="2564B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107593F"/>
    <w:multiLevelType w:val="hybridMultilevel"/>
    <w:tmpl w:val="2F94C0D2"/>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590BD4"/>
    <w:multiLevelType w:val="hybridMultilevel"/>
    <w:tmpl w:val="4A14703E"/>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27">
    <w:nsid w:val="4ADE77A7"/>
    <w:multiLevelType w:val="hybridMultilevel"/>
    <w:tmpl w:val="4A620D20"/>
    <w:lvl w:ilvl="0" w:tplc="0C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4B094B45"/>
    <w:multiLevelType w:val="hybridMultilevel"/>
    <w:tmpl w:val="A74213EA"/>
    <w:lvl w:ilvl="0" w:tplc="0C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23344E1"/>
    <w:multiLevelType w:val="hybridMultilevel"/>
    <w:tmpl w:val="682023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64E3F0B"/>
    <w:multiLevelType w:val="multilevel"/>
    <w:tmpl w:val="7C040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7D527D"/>
    <w:multiLevelType w:val="hybridMultilevel"/>
    <w:tmpl w:val="3E3048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6925604"/>
    <w:multiLevelType w:val="hybridMultilevel"/>
    <w:tmpl w:val="51DE2CAC"/>
    <w:lvl w:ilvl="0" w:tplc="0C09001B">
      <w:start w:val="1"/>
      <w:numFmt w:val="lowerRoman"/>
      <w:lvlText w:val="%1."/>
      <w:lvlJc w:val="right"/>
      <w:pPr>
        <w:ind w:left="1518" w:hanging="360"/>
      </w:pPr>
    </w:lvl>
    <w:lvl w:ilvl="1" w:tplc="04090019" w:tentative="1">
      <w:start w:val="1"/>
      <w:numFmt w:val="lowerLetter"/>
      <w:lvlText w:val="%2."/>
      <w:lvlJc w:val="left"/>
      <w:pPr>
        <w:ind w:left="2238" w:hanging="360"/>
      </w:pPr>
    </w:lvl>
    <w:lvl w:ilvl="2" w:tplc="0409001B" w:tentative="1">
      <w:start w:val="1"/>
      <w:numFmt w:val="lowerRoman"/>
      <w:lvlText w:val="%3."/>
      <w:lvlJc w:val="right"/>
      <w:pPr>
        <w:ind w:left="2958" w:hanging="180"/>
      </w:pPr>
    </w:lvl>
    <w:lvl w:ilvl="3" w:tplc="0409000F" w:tentative="1">
      <w:start w:val="1"/>
      <w:numFmt w:val="decimal"/>
      <w:lvlText w:val="%4."/>
      <w:lvlJc w:val="left"/>
      <w:pPr>
        <w:ind w:left="3678" w:hanging="360"/>
      </w:pPr>
    </w:lvl>
    <w:lvl w:ilvl="4" w:tplc="04090019" w:tentative="1">
      <w:start w:val="1"/>
      <w:numFmt w:val="lowerLetter"/>
      <w:lvlText w:val="%5."/>
      <w:lvlJc w:val="left"/>
      <w:pPr>
        <w:ind w:left="4398" w:hanging="360"/>
      </w:pPr>
    </w:lvl>
    <w:lvl w:ilvl="5" w:tplc="0409001B" w:tentative="1">
      <w:start w:val="1"/>
      <w:numFmt w:val="lowerRoman"/>
      <w:lvlText w:val="%6."/>
      <w:lvlJc w:val="right"/>
      <w:pPr>
        <w:ind w:left="5118" w:hanging="180"/>
      </w:pPr>
    </w:lvl>
    <w:lvl w:ilvl="6" w:tplc="0409000F" w:tentative="1">
      <w:start w:val="1"/>
      <w:numFmt w:val="decimal"/>
      <w:lvlText w:val="%7."/>
      <w:lvlJc w:val="left"/>
      <w:pPr>
        <w:ind w:left="5838" w:hanging="360"/>
      </w:pPr>
    </w:lvl>
    <w:lvl w:ilvl="7" w:tplc="04090019" w:tentative="1">
      <w:start w:val="1"/>
      <w:numFmt w:val="lowerLetter"/>
      <w:lvlText w:val="%8."/>
      <w:lvlJc w:val="left"/>
      <w:pPr>
        <w:ind w:left="6558" w:hanging="360"/>
      </w:pPr>
    </w:lvl>
    <w:lvl w:ilvl="8" w:tplc="0409001B" w:tentative="1">
      <w:start w:val="1"/>
      <w:numFmt w:val="lowerRoman"/>
      <w:lvlText w:val="%9."/>
      <w:lvlJc w:val="right"/>
      <w:pPr>
        <w:ind w:left="7278" w:hanging="180"/>
      </w:pPr>
    </w:lvl>
  </w:abstractNum>
  <w:abstractNum w:abstractNumId="33">
    <w:nsid w:val="612A52A7"/>
    <w:multiLevelType w:val="hybridMultilevel"/>
    <w:tmpl w:val="3500C09C"/>
    <w:lvl w:ilvl="0" w:tplc="04090001">
      <w:start w:val="1"/>
      <w:numFmt w:val="bullet"/>
      <w:lvlText w:val=""/>
      <w:lvlJc w:val="left"/>
      <w:pPr>
        <w:ind w:left="720" w:hanging="360"/>
      </w:pPr>
      <w:rPr>
        <w:rFonts w:ascii="Symbol" w:hAnsi="Symbol" w:hint="default"/>
      </w:rPr>
    </w:lvl>
    <w:lvl w:ilvl="1" w:tplc="B75A87F6">
      <w:start w:val="1"/>
      <w:numFmt w:val="bullet"/>
      <w:lvlText w:val="o"/>
      <w:lvlJc w:val="left"/>
      <w:pPr>
        <w:ind w:left="1440" w:hanging="360"/>
      </w:pPr>
      <w:rPr>
        <w:rFonts w:ascii="Courier New" w:hAnsi="Courier New" w:hint="default"/>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6D7057"/>
    <w:multiLevelType w:val="multilevel"/>
    <w:tmpl w:val="047C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4E6E43"/>
    <w:multiLevelType w:val="multilevel"/>
    <w:tmpl w:val="8940CC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3835CA5"/>
    <w:multiLevelType w:val="multilevel"/>
    <w:tmpl w:val="D46855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DB63ACD"/>
    <w:multiLevelType w:val="hybridMultilevel"/>
    <w:tmpl w:val="0952097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DD6782F"/>
    <w:multiLevelType w:val="multilevel"/>
    <w:tmpl w:val="E3526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FFF5EEC"/>
    <w:multiLevelType w:val="hybridMultilevel"/>
    <w:tmpl w:val="C1E610D0"/>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1537AC"/>
    <w:multiLevelType w:val="hybridMultilevel"/>
    <w:tmpl w:val="972E5DD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2160" w:hanging="360"/>
      </w:pPr>
      <w:rPr>
        <w:rFonts w:hint="default"/>
      </w:rPr>
    </w:lvl>
    <w:lvl w:ilvl="2" w:tplc="8F2CEDA2">
      <w:start w:val="1"/>
      <w:numFmt w:val="lowerRoman"/>
      <w:lvlText w:val="%3."/>
      <w:lvlJc w:val="left"/>
      <w:pPr>
        <w:ind w:left="252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D84359"/>
    <w:multiLevelType w:val="hybridMultilevel"/>
    <w:tmpl w:val="51DE2CAC"/>
    <w:lvl w:ilvl="0" w:tplc="0C09001B">
      <w:start w:val="1"/>
      <w:numFmt w:val="lowerRoman"/>
      <w:lvlText w:val="%1."/>
      <w:lvlJc w:val="right"/>
      <w:pPr>
        <w:ind w:left="1518" w:hanging="360"/>
      </w:pPr>
    </w:lvl>
    <w:lvl w:ilvl="1" w:tplc="04090019" w:tentative="1">
      <w:start w:val="1"/>
      <w:numFmt w:val="lowerLetter"/>
      <w:lvlText w:val="%2."/>
      <w:lvlJc w:val="left"/>
      <w:pPr>
        <w:ind w:left="2238" w:hanging="360"/>
      </w:pPr>
    </w:lvl>
    <w:lvl w:ilvl="2" w:tplc="0409001B" w:tentative="1">
      <w:start w:val="1"/>
      <w:numFmt w:val="lowerRoman"/>
      <w:lvlText w:val="%3."/>
      <w:lvlJc w:val="right"/>
      <w:pPr>
        <w:ind w:left="2958" w:hanging="180"/>
      </w:pPr>
    </w:lvl>
    <w:lvl w:ilvl="3" w:tplc="0409000F" w:tentative="1">
      <w:start w:val="1"/>
      <w:numFmt w:val="decimal"/>
      <w:lvlText w:val="%4."/>
      <w:lvlJc w:val="left"/>
      <w:pPr>
        <w:ind w:left="3678" w:hanging="360"/>
      </w:pPr>
    </w:lvl>
    <w:lvl w:ilvl="4" w:tplc="04090019" w:tentative="1">
      <w:start w:val="1"/>
      <w:numFmt w:val="lowerLetter"/>
      <w:lvlText w:val="%5."/>
      <w:lvlJc w:val="left"/>
      <w:pPr>
        <w:ind w:left="4398" w:hanging="360"/>
      </w:pPr>
    </w:lvl>
    <w:lvl w:ilvl="5" w:tplc="0409001B" w:tentative="1">
      <w:start w:val="1"/>
      <w:numFmt w:val="lowerRoman"/>
      <w:lvlText w:val="%6."/>
      <w:lvlJc w:val="right"/>
      <w:pPr>
        <w:ind w:left="5118" w:hanging="180"/>
      </w:pPr>
    </w:lvl>
    <w:lvl w:ilvl="6" w:tplc="0409000F" w:tentative="1">
      <w:start w:val="1"/>
      <w:numFmt w:val="decimal"/>
      <w:lvlText w:val="%7."/>
      <w:lvlJc w:val="left"/>
      <w:pPr>
        <w:ind w:left="5838" w:hanging="360"/>
      </w:pPr>
    </w:lvl>
    <w:lvl w:ilvl="7" w:tplc="04090019" w:tentative="1">
      <w:start w:val="1"/>
      <w:numFmt w:val="lowerLetter"/>
      <w:lvlText w:val="%8."/>
      <w:lvlJc w:val="left"/>
      <w:pPr>
        <w:ind w:left="6558" w:hanging="360"/>
      </w:pPr>
    </w:lvl>
    <w:lvl w:ilvl="8" w:tplc="0409001B" w:tentative="1">
      <w:start w:val="1"/>
      <w:numFmt w:val="lowerRoman"/>
      <w:lvlText w:val="%9."/>
      <w:lvlJc w:val="right"/>
      <w:pPr>
        <w:ind w:left="7278" w:hanging="180"/>
      </w:pPr>
    </w:lvl>
  </w:abstractNum>
  <w:abstractNum w:abstractNumId="42">
    <w:nsid w:val="7C2329E7"/>
    <w:multiLevelType w:val="hybridMultilevel"/>
    <w:tmpl w:val="4516E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5"/>
  </w:num>
  <w:num w:numId="4">
    <w:abstractNumId w:val="36"/>
  </w:num>
  <w:num w:numId="5">
    <w:abstractNumId w:val="13"/>
  </w:num>
  <w:num w:numId="6">
    <w:abstractNumId w:val="21"/>
  </w:num>
  <w:num w:numId="7">
    <w:abstractNumId w:val="23"/>
  </w:num>
  <w:num w:numId="8">
    <w:abstractNumId w:val="30"/>
  </w:num>
  <w:num w:numId="9">
    <w:abstractNumId w:val="17"/>
  </w:num>
  <w:num w:numId="10">
    <w:abstractNumId w:val="22"/>
  </w:num>
  <w:num w:numId="11">
    <w:abstractNumId w:val="15"/>
  </w:num>
  <w:num w:numId="12">
    <w:abstractNumId w:val="38"/>
  </w:num>
  <w:num w:numId="13">
    <w:abstractNumId w:val="34"/>
  </w:num>
  <w:num w:numId="14">
    <w:abstractNumId w:val="1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39"/>
  </w:num>
  <w:num w:numId="18">
    <w:abstractNumId w:val="40"/>
  </w:num>
  <w:num w:numId="19">
    <w:abstractNumId w:val="25"/>
  </w:num>
  <w:num w:numId="20">
    <w:abstractNumId w:val="29"/>
  </w:num>
  <w:num w:numId="21">
    <w:abstractNumId w:val="11"/>
  </w:num>
  <w:num w:numId="22">
    <w:abstractNumId w:val="7"/>
  </w:num>
  <w:num w:numId="23">
    <w:abstractNumId w:val="14"/>
  </w:num>
  <w:num w:numId="24">
    <w:abstractNumId w:val="31"/>
  </w:num>
  <w:num w:numId="25">
    <w:abstractNumId w:val="20"/>
  </w:num>
  <w:num w:numId="26">
    <w:abstractNumId w:val="42"/>
  </w:num>
  <w:num w:numId="27">
    <w:abstractNumId w:val="32"/>
  </w:num>
  <w:num w:numId="28">
    <w:abstractNumId w:val="28"/>
  </w:num>
  <w:num w:numId="29">
    <w:abstractNumId w:val="41"/>
  </w:num>
  <w:num w:numId="30">
    <w:abstractNumId w:val="18"/>
  </w:num>
  <w:num w:numId="31">
    <w:abstractNumId w:val="27"/>
  </w:num>
  <w:num w:numId="32">
    <w:abstractNumId w:val="37"/>
  </w:num>
  <w:num w:numId="33">
    <w:abstractNumId w:val="6"/>
  </w:num>
  <w:num w:numId="34">
    <w:abstractNumId w:val="10"/>
  </w:num>
  <w:num w:numId="35">
    <w:abstractNumId w:val="0"/>
  </w:num>
  <w:num w:numId="36">
    <w:abstractNumId w:val="1"/>
  </w:num>
  <w:num w:numId="37">
    <w:abstractNumId w:val="2"/>
  </w:num>
  <w:num w:numId="38">
    <w:abstractNumId w:val="3"/>
  </w:num>
  <w:num w:numId="39">
    <w:abstractNumId w:val="4"/>
  </w:num>
  <w:num w:numId="40">
    <w:abstractNumId w:val="5"/>
  </w:num>
  <w:num w:numId="41">
    <w:abstractNumId w:val="26"/>
  </w:num>
  <w:num w:numId="42">
    <w:abstractNumId w:val="16"/>
  </w:num>
  <w:num w:numId="43">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proofState w:spelling="clean" w:grammar="clean"/>
  <w:attachedTemplate r:id="rId1"/>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BD"/>
    <w:rsid w:val="00011339"/>
    <w:rsid w:val="0002479D"/>
    <w:rsid w:val="000315C2"/>
    <w:rsid w:val="00036EDC"/>
    <w:rsid w:val="00040E71"/>
    <w:rsid w:val="000648B7"/>
    <w:rsid w:val="000666FC"/>
    <w:rsid w:val="0006713B"/>
    <w:rsid w:val="00070ABB"/>
    <w:rsid w:val="000725A5"/>
    <w:rsid w:val="000860B9"/>
    <w:rsid w:val="000A1147"/>
    <w:rsid w:val="000B12CB"/>
    <w:rsid w:val="000B40A7"/>
    <w:rsid w:val="000C033B"/>
    <w:rsid w:val="000C727E"/>
    <w:rsid w:val="000D2614"/>
    <w:rsid w:val="000E1914"/>
    <w:rsid w:val="000E2EB1"/>
    <w:rsid w:val="00100457"/>
    <w:rsid w:val="00105A59"/>
    <w:rsid w:val="00105D8F"/>
    <w:rsid w:val="001247EB"/>
    <w:rsid w:val="00124E85"/>
    <w:rsid w:val="00125082"/>
    <w:rsid w:val="00126E6D"/>
    <w:rsid w:val="00130B39"/>
    <w:rsid w:val="00133F9F"/>
    <w:rsid w:val="00134D9B"/>
    <w:rsid w:val="00154F1C"/>
    <w:rsid w:val="0016567C"/>
    <w:rsid w:val="001845E1"/>
    <w:rsid w:val="0018546B"/>
    <w:rsid w:val="00195DF7"/>
    <w:rsid w:val="001971B4"/>
    <w:rsid w:val="001A3C47"/>
    <w:rsid w:val="001A59EA"/>
    <w:rsid w:val="001A7757"/>
    <w:rsid w:val="001B270E"/>
    <w:rsid w:val="001B285D"/>
    <w:rsid w:val="001B603B"/>
    <w:rsid w:val="001D21E9"/>
    <w:rsid w:val="001D2781"/>
    <w:rsid w:val="001E123D"/>
    <w:rsid w:val="001E3320"/>
    <w:rsid w:val="001E6F4E"/>
    <w:rsid w:val="001F20F5"/>
    <w:rsid w:val="001F5884"/>
    <w:rsid w:val="00202137"/>
    <w:rsid w:val="00217830"/>
    <w:rsid w:val="00221C9F"/>
    <w:rsid w:val="00225477"/>
    <w:rsid w:val="0023523E"/>
    <w:rsid w:val="002443F8"/>
    <w:rsid w:val="00252730"/>
    <w:rsid w:val="002537F2"/>
    <w:rsid w:val="002608B9"/>
    <w:rsid w:val="00260AB3"/>
    <w:rsid w:val="00271AA0"/>
    <w:rsid w:val="00275108"/>
    <w:rsid w:val="00287F96"/>
    <w:rsid w:val="00295CD3"/>
    <w:rsid w:val="002A557D"/>
    <w:rsid w:val="002D0D26"/>
    <w:rsid w:val="002D79E2"/>
    <w:rsid w:val="002E30EB"/>
    <w:rsid w:val="002E7263"/>
    <w:rsid w:val="002F2EF0"/>
    <w:rsid w:val="002F3C9E"/>
    <w:rsid w:val="003135AA"/>
    <w:rsid w:val="00317F15"/>
    <w:rsid w:val="0032018C"/>
    <w:rsid w:val="00323620"/>
    <w:rsid w:val="00325297"/>
    <w:rsid w:val="003279B9"/>
    <w:rsid w:val="003440C1"/>
    <w:rsid w:val="00345163"/>
    <w:rsid w:val="003505E4"/>
    <w:rsid w:val="003512A4"/>
    <w:rsid w:val="00372EDD"/>
    <w:rsid w:val="00375B4C"/>
    <w:rsid w:val="00396DC9"/>
    <w:rsid w:val="003A1CDF"/>
    <w:rsid w:val="003A331F"/>
    <w:rsid w:val="003B28FA"/>
    <w:rsid w:val="003C7850"/>
    <w:rsid w:val="003D1E94"/>
    <w:rsid w:val="003D27F1"/>
    <w:rsid w:val="00405321"/>
    <w:rsid w:val="00427894"/>
    <w:rsid w:val="004334B2"/>
    <w:rsid w:val="004464E3"/>
    <w:rsid w:val="00460480"/>
    <w:rsid w:val="004607DE"/>
    <w:rsid w:val="00461AB0"/>
    <w:rsid w:val="004825CB"/>
    <w:rsid w:val="004971CE"/>
    <w:rsid w:val="004B3F94"/>
    <w:rsid w:val="004B4B9A"/>
    <w:rsid w:val="004B5DAA"/>
    <w:rsid w:val="004C7B00"/>
    <w:rsid w:val="004D4636"/>
    <w:rsid w:val="004D4A55"/>
    <w:rsid w:val="004E1EB3"/>
    <w:rsid w:val="004F320E"/>
    <w:rsid w:val="00502186"/>
    <w:rsid w:val="00502A94"/>
    <w:rsid w:val="00507C8F"/>
    <w:rsid w:val="0051064D"/>
    <w:rsid w:val="005250DB"/>
    <w:rsid w:val="00525D15"/>
    <w:rsid w:val="00532B5F"/>
    <w:rsid w:val="00533313"/>
    <w:rsid w:val="00540020"/>
    <w:rsid w:val="00544A38"/>
    <w:rsid w:val="005533AE"/>
    <w:rsid w:val="00555B41"/>
    <w:rsid w:val="005571FD"/>
    <w:rsid w:val="00560FAB"/>
    <w:rsid w:val="00562489"/>
    <w:rsid w:val="00571E8E"/>
    <w:rsid w:val="00572393"/>
    <w:rsid w:val="0058089D"/>
    <w:rsid w:val="00586D24"/>
    <w:rsid w:val="005938D0"/>
    <w:rsid w:val="00593C08"/>
    <w:rsid w:val="005A2874"/>
    <w:rsid w:val="005B1275"/>
    <w:rsid w:val="005B43C0"/>
    <w:rsid w:val="005C23AD"/>
    <w:rsid w:val="005C55D0"/>
    <w:rsid w:val="005C5A23"/>
    <w:rsid w:val="005D41A3"/>
    <w:rsid w:val="005E0B4A"/>
    <w:rsid w:val="005E2598"/>
    <w:rsid w:val="005E3562"/>
    <w:rsid w:val="005F6D36"/>
    <w:rsid w:val="006134F8"/>
    <w:rsid w:val="00653EBE"/>
    <w:rsid w:val="006542B9"/>
    <w:rsid w:val="006562E8"/>
    <w:rsid w:val="00671C69"/>
    <w:rsid w:val="006771CE"/>
    <w:rsid w:val="00685779"/>
    <w:rsid w:val="006909F4"/>
    <w:rsid w:val="00695F52"/>
    <w:rsid w:val="00696339"/>
    <w:rsid w:val="006B0F84"/>
    <w:rsid w:val="006B2B0F"/>
    <w:rsid w:val="006C3D7C"/>
    <w:rsid w:val="006C4643"/>
    <w:rsid w:val="006E434F"/>
    <w:rsid w:val="006F6010"/>
    <w:rsid w:val="00704DAE"/>
    <w:rsid w:val="007153DA"/>
    <w:rsid w:val="00717D84"/>
    <w:rsid w:val="00723ECF"/>
    <w:rsid w:val="007322C3"/>
    <w:rsid w:val="007342DB"/>
    <w:rsid w:val="00742B78"/>
    <w:rsid w:val="00742CD1"/>
    <w:rsid w:val="0074479F"/>
    <w:rsid w:val="00744CEC"/>
    <w:rsid w:val="007528F5"/>
    <w:rsid w:val="00780598"/>
    <w:rsid w:val="0078301C"/>
    <w:rsid w:val="00785DA4"/>
    <w:rsid w:val="00786EFB"/>
    <w:rsid w:val="00795ACA"/>
    <w:rsid w:val="007A2B44"/>
    <w:rsid w:val="007B4075"/>
    <w:rsid w:val="007B71C8"/>
    <w:rsid w:val="007C2551"/>
    <w:rsid w:val="007C37E1"/>
    <w:rsid w:val="007D35FB"/>
    <w:rsid w:val="007D5647"/>
    <w:rsid w:val="007D5F16"/>
    <w:rsid w:val="007D6EF3"/>
    <w:rsid w:val="007E7418"/>
    <w:rsid w:val="007F3DB8"/>
    <w:rsid w:val="007F60CE"/>
    <w:rsid w:val="00814EBA"/>
    <w:rsid w:val="00814FA0"/>
    <w:rsid w:val="00816C49"/>
    <w:rsid w:val="0082430E"/>
    <w:rsid w:val="00825AF2"/>
    <w:rsid w:val="0082663A"/>
    <w:rsid w:val="00842D03"/>
    <w:rsid w:val="00847293"/>
    <w:rsid w:val="008545CC"/>
    <w:rsid w:val="00856708"/>
    <w:rsid w:val="00856779"/>
    <w:rsid w:val="00860EBE"/>
    <w:rsid w:val="00867F13"/>
    <w:rsid w:val="008824FB"/>
    <w:rsid w:val="00883368"/>
    <w:rsid w:val="00893E0A"/>
    <w:rsid w:val="008A1091"/>
    <w:rsid w:val="008A1335"/>
    <w:rsid w:val="008A5596"/>
    <w:rsid w:val="008A56E9"/>
    <w:rsid w:val="008B0A2A"/>
    <w:rsid w:val="008B3C9E"/>
    <w:rsid w:val="008B5F91"/>
    <w:rsid w:val="008B6271"/>
    <w:rsid w:val="008B7ED3"/>
    <w:rsid w:val="008C4459"/>
    <w:rsid w:val="008C51F9"/>
    <w:rsid w:val="008C7A1A"/>
    <w:rsid w:val="00900274"/>
    <w:rsid w:val="00901987"/>
    <w:rsid w:val="00911F78"/>
    <w:rsid w:val="00935A91"/>
    <w:rsid w:val="00940140"/>
    <w:rsid w:val="009404B2"/>
    <w:rsid w:val="009421A4"/>
    <w:rsid w:val="009441F1"/>
    <w:rsid w:val="00951B85"/>
    <w:rsid w:val="00955D57"/>
    <w:rsid w:val="009715A9"/>
    <w:rsid w:val="009836EC"/>
    <w:rsid w:val="0098462C"/>
    <w:rsid w:val="00991FB8"/>
    <w:rsid w:val="009A04BB"/>
    <w:rsid w:val="009A7641"/>
    <w:rsid w:val="009C2E16"/>
    <w:rsid w:val="009C4CA4"/>
    <w:rsid w:val="009D19EE"/>
    <w:rsid w:val="009D2865"/>
    <w:rsid w:val="009E38CC"/>
    <w:rsid w:val="009E5588"/>
    <w:rsid w:val="009E5681"/>
    <w:rsid w:val="00A1012B"/>
    <w:rsid w:val="00A1080E"/>
    <w:rsid w:val="00A138FA"/>
    <w:rsid w:val="00A2166A"/>
    <w:rsid w:val="00A23319"/>
    <w:rsid w:val="00A445C4"/>
    <w:rsid w:val="00A5345D"/>
    <w:rsid w:val="00A57A03"/>
    <w:rsid w:val="00A60FCB"/>
    <w:rsid w:val="00A6516A"/>
    <w:rsid w:val="00A71FD8"/>
    <w:rsid w:val="00A77FB6"/>
    <w:rsid w:val="00A96745"/>
    <w:rsid w:val="00AB465F"/>
    <w:rsid w:val="00AB75DD"/>
    <w:rsid w:val="00AC15BE"/>
    <w:rsid w:val="00AC5F0B"/>
    <w:rsid w:val="00AC612A"/>
    <w:rsid w:val="00AD389B"/>
    <w:rsid w:val="00AE0DE0"/>
    <w:rsid w:val="00AF5B79"/>
    <w:rsid w:val="00AF650A"/>
    <w:rsid w:val="00B10F26"/>
    <w:rsid w:val="00B11B17"/>
    <w:rsid w:val="00B27962"/>
    <w:rsid w:val="00B32820"/>
    <w:rsid w:val="00B3726E"/>
    <w:rsid w:val="00B37382"/>
    <w:rsid w:val="00B37396"/>
    <w:rsid w:val="00B4181A"/>
    <w:rsid w:val="00B44EA3"/>
    <w:rsid w:val="00B4755B"/>
    <w:rsid w:val="00B52FBD"/>
    <w:rsid w:val="00B57717"/>
    <w:rsid w:val="00B77CE3"/>
    <w:rsid w:val="00B8323E"/>
    <w:rsid w:val="00B876E6"/>
    <w:rsid w:val="00B926C4"/>
    <w:rsid w:val="00B94604"/>
    <w:rsid w:val="00B96A6F"/>
    <w:rsid w:val="00BA1EBD"/>
    <w:rsid w:val="00BA313A"/>
    <w:rsid w:val="00BB4A86"/>
    <w:rsid w:val="00BC7BCC"/>
    <w:rsid w:val="00BD341A"/>
    <w:rsid w:val="00BD637C"/>
    <w:rsid w:val="00BF23E8"/>
    <w:rsid w:val="00C05E1D"/>
    <w:rsid w:val="00C06419"/>
    <w:rsid w:val="00C07E96"/>
    <w:rsid w:val="00C23ECA"/>
    <w:rsid w:val="00C24D0D"/>
    <w:rsid w:val="00C34033"/>
    <w:rsid w:val="00C42E96"/>
    <w:rsid w:val="00C4553C"/>
    <w:rsid w:val="00C4753A"/>
    <w:rsid w:val="00C54282"/>
    <w:rsid w:val="00C72AF3"/>
    <w:rsid w:val="00C806D0"/>
    <w:rsid w:val="00C9011B"/>
    <w:rsid w:val="00C92A1E"/>
    <w:rsid w:val="00C9318E"/>
    <w:rsid w:val="00C97D3F"/>
    <w:rsid w:val="00CA345D"/>
    <w:rsid w:val="00CA3850"/>
    <w:rsid w:val="00CA7908"/>
    <w:rsid w:val="00CB430E"/>
    <w:rsid w:val="00CB5E24"/>
    <w:rsid w:val="00CC466E"/>
    <w:rsid w:val="00CD23FF"/>
    <w:rsid w:val="00CD6196"/>
    <w:rsid w:val="00CE0277"/>
    <w:rsid w:val="00CE1966"/>
    <w:rsid w:val="00D13700"/>
    <w:rsid w:val="00D173B0"/>
    <w:rsid w:val="00D27B52"/>
    <w:rsid w:val="00D32D84"/>
    <w:rsid w:val="00D350C0"/>
    <w:rsid w:val="00D44C43"/>
    <w:rsid w:val="00D467E3"/>
    <w:rsid w:val="00D51056"/>
    <w:rsid w:val="00D512C9"/>
    <w:rsid w:val="00D56713"/>
    <w:rsid w:val="00D62F40"/>
    <w:rsid w:val="00D63549"/>
    <w:rsid w:val="00D66EE0"/>
    <w:rsid w:val="00D75182"/>
    <w:rsid w:val="00D764F3"/>
    <w:rsid w:val="00D81019"/>
    <w:rsid w:val="00D9319E"/>
    <w:rsid w:val="00D93EFB"/>
    <w:rsid w:val="00D97E23"/>
    <w:rsid w:val="00DA4F8F"/>
    <w:rsid w:val="00DA75F5"/>
    <w:rsid w:val="00DC55D3"/>
    <w:rsid w:val="00DE35B7"/>
    <w:rsid w:val="00E0042B"/>
    <w:rsid w:val="00E05EF5"/>
    <w:rsid w:val="00E10153"/>
    <w:rsid w:val="00E14773"/>
    <w:rsid w:val="00E231E3"/>
    <w:rsid w:val="00E24316"/>
    <w:rsid w:val="00E256D0"/>
    <w:rsid w:val="00E34794"/>
    <w:rsid w:val="00E414E1"/>
    <w:rsid w:val="00E61C55"/>
    <w:rsid w:val="00E65624"/>
    <w:rsid w:val="00E70092"/>
    <w:rsid w:val="00E70A2E"/>
    <w:rsid w:val="00E70ACC"/>
    <w:rsid w:val="00E70FDC"/>
    <w:rsid w:val="00E745E8"/>
    <w:rsid w:val="00E75953"/>
    <w:rsid w:val="00E802C0"/>
    <w:rsid w:val="00E9170D"/>
    <w:rsid w:val="00EA59F1"/>
    <w:rsid w:val="00EA78D0"/>
    <w:rsid w:val="00EB63D4"/>
    <w:rsid w:val="00EB7EA5"/>
    <w:rsid w:val="00EE096A"/>
    <w:rsid w:val="00EE0E57"/>
    <w:rsid w:val="00EE517D"/>
    <w:rsid w:val="00EF0457"/>
    <w:rsid w:val="00EF3986"/>
    <w:rsid w:val="00F0245D"/>
    <w:rsid w:val="00F03CA8"/>
    <w:rsid w:val="00F247F3"/>
    <w:rsid w:val="00F26FF4"/>
    <w:rsid w:val="00F31D02"/>
    <w:rsid w:val="00F42BA9"/>
    <w:rsid w:val="00F4386E"/>
    <w:rsid w:val="00F4409C"/>
    <w:rsid w:val="00F45071"/>
    <w:rsid w:val="00F56889"/>
    <w:rsid w:val="00F61983"/>
    <w:rsid w:val="00F620F9"/>
    <w:rsid w:val="00F62275"/>
    <w:rsid w:val="00F71D24"/>
    <w:rsid w:val="00F873C6"/>
    <w:rsid w:val="00F97569"/>
    <w:rsid w:val="00FA743D"/>
    <w:rsid w:val="00FB4AB8"/>
    <w:rsid w:val="00FC03A4"/>
    <w:rsid w:val="00FC6796"/>
    <w:rsid w:val="00FD0B58"/>
    <w:rsid w:val="00FE25FE"/>
    <w:rsid w:val="00FE3A39"/>
    <w:rsid w:val="00FF3D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06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 w:type="paragraph" w:customStyle="1" w:styleId="Default">
    <w:name w:val="Default"/>
    <w:rsid w:val="00D44C43"/>
    <w:pPr>
      <w:widowControl w:val="0"/>
      <w:autoSpaceDE w:val="0"/>
      <w:autoSpaceDN w:val="0"/>
      <w:adjustRightInd w:val="0"/>
      <w:spacing w:after="0" w:line="240" w:lineRule="auto"/>
    </w:pPr>
    <w:rPr>
      <w:rFonts w:ascii="Calibri" w:hAnsi="Calibri" w:cs="Calibri"/>
      <w:color w:val="000000"/>
      <w:sz w:val="24"/>
      <w:szCs w:val="24"/>
      <w:lang w:val="en-US"/>
    </w:rPr>
  </w:style>
  <w:style w:type="paragraph" w:styleId="HTMLPreformatted">
    <w:name w:val="HTML Preformatted"/>
    <w:basedOn w:val="Normal"/>
    <w:link w:val="HTMLPreformattedChar"/>
    <w:uiPriority w:val="99"/>
    <w:rsid w:val="004B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4B5DAA"/>
    <w:rPr>
      <w:rFonts w:ascii="Courier New" w:eastAsia="Times New Roman" w:hAnsi="Courier New" w:cs="Courier New"/>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 w:type="paragraph" w:customStyle="1" w:styleId="Default">
    <w:name w:val="Default"/>
    <w:rsid w:val="00D44C43"/>
    <w:pPr>
      <w:widowControl w:val="0"/>
      <w:autoSpaceDE w:val="0"/>
      <w:autoSpaceDN w:val="0"/>
      <w:adjustRightInd w:val="0"/>
      <w:spacing w:after="0" w:line="240" w:lineRule="auto"/>
    </w:pPr>
    <w:rPr>
      <w:rFonts w:ascii="Calibri" w:hAnsi="Calibri" w:cs="Calibri"/>
      <w:color w:val="000000"/>
      <w:sz w:val="24"/>
      <w:szCs w:val="24"/>
      <w:lang w:val="en-US"/>
    </w:rPr>
  </w:style>
  <w:style w:type="paragraph" w:styleId="HTMLPreformatted">
    <w:name w:val="HTML Preformatted"/>
    <w:basedOn w:val="Normal"/>
    <w:link w:val="HTMLPreformattedChar"/>
    <w:uiPriority w:val="99"/>
    <w:rsid w:val="004B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4B5DAA"/>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306">
      <w:bodyDiv w:val="1"/>
      <w:marLeft w:val="0"/>
      <w:marRight w:val="0"/>
      <w:marTop w:val="0"/>
      <w:marBottom w:val="0"/>
      <w:divBdr>
        <w:top w:val="none" w:sz="0" w:space="0" w:color="auto"/>
        <w:left w:val="none" w:sz="0" w:space="0" w:color="auto"/>
        <w:bottom w:val="none" w:sz="0" w:space="0" w:color="auto"/>
        <w:right w:val="none" w:sz="0" w:space="0" w:color="auto"/>
      </w:divBdr>
      <w:divsChild>
        <w:div w:id="1877234290">
          <w:marLeft w:val="0"/>
          <w:marRight w:val="0"/>
          <w:marTop w:val="0"/>
          <w:marBottom w:val="0"/>
          <w:divBdr>
            <w:top w:val="none" w:sz="0" w:space="0" w:color="auto"/>
            <w:left w:val="none" w:sz="0" w:space="0" w:color="auto"/>
            <w:bottom w:val="none" w:sz="0" w:space="0" w:color="auto"/>
            <w:right w:val="none" w:sz="0" w:space="0" w:color="auto"/>
          </w:divBdr>
          <w:divsChild>
            <w:div w:id="1817411235">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48682129">
      <w:bodyDiv w:val="1"/>
      <w:marLeft w:val="0"/>
      <w:marRight w:val="0"/>
      <w:marTop w:val="0"/>
      <w:marBottom w:val="0"/>
      <w:divBdr>
        <w:top w:val="none" w:sz="0" w:space="0" w:color="auto"/>
        <w:left w:val="none" w:sz="0" w:space="0" w:color="auto"/>
        <w:bottom w:val="none" w:sz="0" w:space="0" w:color="auto"/>
        <w:right w:val="none" w:sz="0" w:space="0" w:color="auto"/>
      </w:divBdr>
      <w:divsChild>
        <w:div w:id="1673339200">
          <w:marLeft w:val="0"/>
          <w:marRight w:val="0"/>
          <w:marTop w:val="0"/>
          <w:marBottom w:val="0"/>
          <w:divBdr>
            <w:top w:val="none" w:sz="0" w:space="0" w:color="auto"/>
            <w:left w:val="none" w:sz="0" w:space="0" w:color="auto"/>
            <w:bottom w:val="none" w:sz="0" w:space="0" w:color="auto"/>
            <w:right w:val="none" w:sz="0" w:space="0" w:color="auto"/>
          </w:divBdr>
          <w:divsChild>
            <w:div w:id="104081840">
              <w:marLeft w:val="0"/>
              <w:marRight w:val="0"/>
              <w:marTop w:val="0"/>
              <w:marBottom w:val="0"/>
              <w:divBdr>
                <w:top w:val="none" w:sz="0" w:space="0" w:color="auto"/>
                <w:left w:val="none" w:sz="0" w:space="0" w:color="auto"/>
                <w:bottom w:val="none" w:sz="0" w:space="0" w:color="auto"/>
                <w:right w:val="none" w:sz="0" w:space="0" w:color="auto"/>
              </w:divBdr>
              <w:divsChild>
                <w:div w:id="15131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8627">
      <w:bodyDiv w:val="1"/>
      <w:marLeft w:val="0"/>
      <w:marRight w:val="0"/>
      <w:marTop w:val="0"/>
      <w:marBottom w:val="0"/>
      <w:divBdr>
        <w:top w:val="none" w:sz="0" w:space="0" w:color="auto"/>
        <w:left w:val="none" w:sz="0" w:space="0" w:color="auto"/>
        <w:bottom w:val="none" w:sz="0" w:space="0" w:color="auto"/>
        <w:right w:val="none" w:sz="0" w:space="0" w:color="auto"/>
      </w:divBdr>
      <w:divsChild>
        <w:div w:id="841237726">
          <w:marLeft w:val="0"/>
          <w:marRight w:val="0"/>
          <w:marTop w:val="0"/>
          <w:marBottom w:val="0"/>
          <w:divBdr>
            <w:top w:val="none" w:sz="0" w:space="0" w:color="auto"/>
            <w:left w:val="none" w:sz="0" w:space="0" w:color="auto"/>
            <w:bottom w:val="none" w:sz="0" w:space="0" w:color="auto"/>
            <w:right w:val="none" w:sz="0" w:space="0" w:color="auto"/>
          </w:divBdr>
          <w:divsChild>
            <w:div w:id="962080552">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352221387">
      <w:bodyDiv w:val="1"/>
      <w:marLeft w:val="0"/>
      <w:marRight w:val="0"/>
      <w:marTop w:val="0"/>
      <w:marBottom w:val="0"/>
      <w:divBdr>
        <w:top w:val="none" w:sz="0" w:space="0" w:color="auto"/>
        <w:left w:val="none" w:sz="0" w:space="0" w:color="auto"/>
        <w:bottom w:val="none" w:sz="0" w:space="0" w:color="auto"/>
        <w:right w:val="none" w:sz="0" w:space="0" w:color="auto"/>
      </w:divBdr>
      <w:divsChild>
        <w:div w:id="282545146">
          <w:marLeft w:val="0"/>
          <w:marRight w:val="0"/>
          <w:marTop w:val="0"/>
          <w:marBottom w:val="0"/>
          <w:divBdr>
            <w:top w:val="none" w:sz="0" w:space="0" w:color="auto"/>
            <w:left w:val="none" w:sz="0" w:space="0" w:color="auto"/>
            <w:bottom w:val="none" w:sz="0" w:space="0" w:color="auto"/>
            <w:right w:val="none" w:sz="0" w:space="0" w:color="auto"/>
          </w:divBdr>
          <w:divsChild>
            <w:div w:id="1317220572">
              <w:marLeft w:val="0"/>
              <w:marRight w:val="0"/>
              <w:marTop w:val="0"/>
              <w:marBottom w:val="0"/>
              <w:divBdr>
                <w:top w:val="none" w:sz="0" w:space="0" w:color="auto"/>
                <w:left w:val="none" w:sz="0" w:space="0" w:color="auto"/>
                <w:bottom w:val="none" w:sz="0" w:space="0" w:color="auto"/>
                <w:right w:val="none" w:sz="0" w:space="0" w:color="auto"/>
              </w:divBdr>
              <w:divsChild>
                <w:div w:id="1998217178">
                  <w:marLeft w:val="0"/>
                  <w:marRight w:val="0"/>
                  <w:marTop w:val="0"/>
                  <w:marBottom w:val="0"/>
                  <w:divBdr>
                    <w:top w:val="none" w:sz="0" w:space="0" w:color="auto"/>
                    <w:left w:val="none" w:sz="0" w:space="0" w:color="auto"/>
                    <w:bottom w:val="none" w:sz="0" w:space="0" w:color="auto"/>
                    <w:right w:val="none" w:sz="0" w:space="0" w:color="auto"/>
                  </w:divBdr>
                  <w:divsChild>
                    <w:div w:id="6447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223313">
      <w:bodyDiv w:val="1"/>
      <w:marLeft w:val="0"/>
      <w:marRight w:val="0"/>
      <w:marTop w:val="0"/>
      <w:marBottom w:val="0"/>
      <w:divBdr>
        <w:top w:val="none" w:sz="0" w:space="0" w:color="auto"/>
        <w:left w:val="none" w:sz="0" w:space="0" w:color="auto"/>
        <w:bottom w:val="none" w:sz="0" w:space="0" w:color="auto"/>
        <w:right w:val="none" w:sz="0" w:space="0" w:color="auto"/>
      </w:divBdr>
      <w:divsChild>
        <w:div w:id="604733148">
          <w:marLeft w:val="0"/>
          <w:marRight w:val="0"/>
          <w:marTop w:val="0"/>
          <w:marBottom w:val="0"/>
          <w:divBdr>
            <w:top w:val="none" w:sz="0" w:space="0" w:color="auto"/>
            <w:left w:val="none" w:sz="0" w:space="0" w:color="auto"/>
            <w:bottom w:val="none" w:sz="0" w:space="0" w:color="auto"/>
            <w:right w:val="none" w:sz="0" w:space="0" w:color="auto"/>
          </w:divBdr>
          <w:divsChild>
            <w:div w:id="726414674">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558399202">
      <w:bodyDiv w:val="1"/>
      <w:marLeft w:val="0"/>
      <w:marRight w:val="0"/>
      <w:marTop w:val="0"/>
      <w:marBottom w:val="0"/>
      <w:divBdr>
        <w:top w:val="none" w:sz="0" w:space="0" w:color="auto"/>
        <w:left w:val="none" w:sz="0" w:space="0" w:color="auto"/>
        <w:bottom w:val="none" w:sz="0" w:space="0" w:color="auto"/>
        <w:right w:val="none" w:sz="0" w:space="0" w:color="auto"/>
      </w:divBdr>
      <w:divsChild>
        <w:div w:id="80106537">
          <w:marLeft w:val="0"/>
          <w:marRight w:val="0"/>
          <w:marTop w:val="0"/>
          <w:marBottom w:val="0"/>
          <w:divBdr>
            <w:top w:val="none" w:sz="0" w:space="0" w:color="auto"/>
            <w:left w:val="none" w:sz="0" w:space="0" w:color="auto"/>
            <w:bottom w:val="none" w:sz="0" w:space="0" w:color="auto"/>
            <w:right w:val="none" w:sz="0" w:space="0" w:color="auto"/>
          </w:divBdr>
          <w:divsChild>
            <w:div w:id="127790807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825855437">
      <w:bodyDiv w:val="1"/>
      <w:marLeft w:val="0"/>
      <w:marRight w:val="0"/>
      <w:marTop w:val="0"/>
      <w:marBottom w:val="0"/>
      <w:divBdr>
        <w:top w:val="none" w:sz="0" w:space="0" w:color="auto"/>
        <w:left w:val="none" w:sz="0" w:space="0" w:color="auto"/>
        <w:bottom w:val="none" w:sz="0" w:space="0" w:color="auto"/>
        <w:right w:val="none" w:sz="0" w:space="0" w:color="auto"/>
      </w:divBdr>
      <w:divsChild>
        <w:div w:id="395737526">
          <w:marLeft w:val="0"/>
          <w:marRight w:val="0"/>
          <w:marTop w:val="0"/>
          <w:marBottom w:val="0"/>
          <w:divBdr>
            <w:top w:val="none" w:sz="0" w:space="0" w:color="auto"/>
            <w:left w:val="none" w:sz="0" w:space="0" w:color="auto"/>
            <w:bottom w:val="none" w:sz="0" w:space="0" w:color="auto"/>
            <w:right w:val="none" w:sz="0" w:space="0" w:color="auto"/>
          </w:divBdr>
          <w:divsChild>
            <w:div w:id="149640876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ood.gov.au/pubs/ivig/development-and-maintenance-of-the-criteria.htm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ood.gov.au/pubs/ivig/development-and-maintenance-of-the-criteria.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ood.gov.au/pubs/ivig/conditions-for-which-IVIg-has-an-emerging-therapeutic-rol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grieve\AppData\Roaming\Microsoft\Templates\Condition%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18DC39B0B5714AA1272BAEF2DE62E2"/>
        <w:category>
          <w:name w:val="General"/>
          <w:gallery w:val="placeholder"/>
        </w:category>
        <w:types>
          <w:type w:val="bbPlcHdr"/>
        </w:types>
        <w:behaviors>
          <w:behavior w:val="content"/>
        </w:behaviors>
        <w:guid w:val="{8CFB87B5-81CE-5A48-93F8-E68766C3D29F}"/>
      </w:docPartPr>
      <w:docPartBody>
        <w:p w:rsidR="0084452C" w:rsidRDefault="0084452C" w:rsidP="0084452C">
          <w:pPr>
            <w:pStyle w:val="4318DC39B0B5714AA1272BAEF2DE62E2"/>
          </w:pPr>
          <w:r>
            <w:t>[Type text]</w:t>
          </w:r>
        </w:p>
      </w:docPartBody>
    </w:docPart>
    <w:docPart>
      <w:docPartPr>
        <w:name w:val="255F24039E3CD646BF4EC89E9F52221B"/>
        <w:category>
          <w:name w:val="General"/>
          <w:gallery w:val="placeholder"/>
        </w:category>
        <w:types>
          <w:type w:val="bbPlcHdr"/>
        </w:types>
        <w:behaviors>
          <w:behavior w:val="content"/>
        </w:behaviors>
        <w:guid w:val="{ACF4724C-60D2-9C41-9A7F-EE9B28A2D528}"/>
      </w:docPartPr>
      <w:docPartBody>
        <w:p w:rsidR="0084452C" w:rsidRDefault="0084452C" w:rsidP="0084452C">
          <w:pPr>
            <w:pStyle w:val="255F24039E3CD646BF4EC89E9F52221B"/>
          </w:pPr>
          <w:r>
            <w:t>[Type text]</w:t>
          </w:r>
        </w:p>
      </w:docPartBody>
    </w:docPart>
    <w:docPart>
      <w:docPartPr>
        <w:name w:val="B2E672F6A46DC34D85472E78455D4ECB"/>
        <w:category>
          <w:name w:val="General"/>
          <w:gallery w:val="placeholder"/>
        </w:category>
        <w:types>
          <w:type w:val="bbPlcHdr"/>
        </w:types>
        <w:behaviors>
          <w:behavior w:val="content"/>
        </w:behaviors>
        <w:guid w:val="{AEE9104C-F3A3-D444-B691-11FCA5A92FEF}"/>
      </w:docPartPr>
      <w:docPartBody>
        <w:p w:rsidR="0084452C" w:rsidRDefault="0084452C" w:rsidP="0084452C">
          <w:pPr>
            <w:pStyle w:val="B2E672F6A46DC34D85472E78455D4E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Condensed">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haker2Lancet-BoldItalic">
    <w:panose1 w:val="00000000000000000000"/>
    <w:charset w:val="00"/>
    <w:family w:val="auto"/>
    <w:notTrueType/>
    <w:pitch w:val="default"/>
    <w:sig w:usb0="00000003" w:usb1="00000000" w:usb2="00000000" w:usb3="00000000" w:csb0="00000001" w:csb1="00000000"/>
  </w:font>
  <w:font w:name="Shaker2Lancet-Bold">
    <w:panose1 w:val="00000000000000000000"/>
    <w:charset w:val="00"/>
    <w:family w:val="auto"/>
    <w:notTrueType/>
    <w:pitch w:val="default"/>
    <w:sig w:usb0="00000003" w:usb1="00000000" w:usb2="00000000" w:usb3="00000000" w:csb0="00000001"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2C"/>
    <w:rsid w:val="000A3A98"/>
    <w:rsid w:val="000F08A1"/>
    <w:rsid w:val="00171125"/>
    <w:rsid w:val="001D4FD8"/>
    <w:rsid w:val="003D03AF"/>
    <w:rsid w:val="004C6829"/>
    <w:rsid w:val="0084452C"/>
    <w:rsid w:val="00967E05"/>
    <w:rsid w:val="00B20720"/>
    <w:rsid w:val="00CE16DD"/>
    <w:rsid w:val="00DA74F2"/>
    <w:rsid w:val="00E24747"/>
    <w:rsid w:val="00F02255"/>
    <w:rsid w:val="00F91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69D6B4AFBD1458332EA9A08A41BF4" ma:contentTypeVersion="0" ma:contentTypeDescription="Create a new document." ma:contentTypeScope="" ma:versionID="ee55a4627d56a27ed3de3ac4d9b1835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E93E7-81D6-49F1-BEA8-4A7E595AD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ADA4C5-577E-454C-A36E-4CD955373D2E}">
  <ds:schemaRef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1A3DD848-B8BA-4AF8-BCCE-5984EB9113AE}">
  <ds:schemaRefs>
    <ds:schemaRef ds:uri="http://schemas.microsoft.com/sharepoint/v3/contenttype/forms"/>
  </ds:schemaRefs>
</ds:datastoreItem>
</file>

<file path=customXml/itemProps4.xml><?xml version="1.0" encoding="utf-8"?>
<ds:datastoreItem xmlns:ds="http://schemas.openxmlformats.org/officeDocument/2006/customXml" ds:itemID="{E4719D5E-1F21-4A04-B89C-930A32639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Condition Proforma.dotx</Template>
  <TotalTime>1</TotalTime>
  <Pages>18</Pages>
  <Words>3949</Words>
  <Characters>22512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26409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Grieve, Ean</dc:creator>
  <cp:lastModifiedBy>Melody Black</cp:lastModifiedBy>
  <cp:revision>3</cp:revision>
  <cp:lastPrinted>2014-11-11T01:42:00Z</cp:lastPrinted>
  <dcterms:created xsi:type="dcterms:W3CDTF">2015-06-12T06:17:00Z</dcterms:created>
  <dcterms:modified xsi:type="dcterms:W3CDTF">2015-06-13T14:22:00Z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0x01010085969D6B4AFBD1458332EA9A08A41BF4</vt:lpwstr>
  </property>
</Properties>
</file>