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23F79" w14:textId="77777777" w:rsidR="001024B4" w:rsidRDefault="001024B4" w:rsidP="001024B4">
      <w:pPr>
        <w:pStyle w:val="Heading3"/>
        <w:ind w:left="567"/>
      </w:pPr>
      <w:r w:rsidRPr="00183EC7">
        <w:t xml:space="preserve">Specialist </w:t>
      </w:r>
      <w:r>
        <w:t>Working Group for Neurology</w:t>
      </w:r>
    </w:p>
    <w:p w14:paraId="54E41E93" w14:textId="628296C0" w:rsidR="00110EC2" w:rsidRPr="0006017F" w:rsidRDefault="001024B4" w:rsidP="0006017F">
      <w:pPr>
        <w:pStyle w:val="Heading4"/>
        <w:ind w:left="567"/>
        <w:rPr>
          <w:i/>
        </w:rPr>
      </w:pPr>
      <w:r>
        <w:t>Pr</w:t>
      </w:r>
      <w:r w:rsidRPr="00183EC7">
        <w:t xml:space="preserve">oposed changes to the </w:t>
      </w:r>
      <w:r w:rsidRPr="00843E7C">
        <w:rPr>
          <w:i/>
        </w:rPr>
        <w:t>Criteria for the clinical use of intravenous immunoglobulin in Australia</w:t>
      </w:r>
      <w:r>
        <w:rPr>
          <w:i/>
        </w:rPr>
        <w:t>, Second Edition</w:t>
      </w:r>
      <w:bookmarkStart w:id="0" w:name="_GoBack"/>
      <w:bookmarkEnd w:id="0"/>
    </w:p>
    <w:tbl>
      <w:tblPr>
        <w:tblStyle w:val="TableGrid"/>
        <w:tblpPr w:leftFromText="181" w:rightFromText="181" w:vertAnchor="text" w:horzAnchor="page" w:tblpX="1093" w:tblpY="471"/>
        <w:tblOverlap w:val="never"/>
        <w:tblW w:w="4720" w:type="pct"/>
        <w:tblLook w:val="0680" w:firstRow="0" w:lastRow="0" w:firstColumn="1" w:lastColumn="0" w:noHBand="1" w:noVBand="1"/>
      </w:tblPr>
      <w:tblGrid>
        <w:gridCol w:w="1701"/>
        <w:gridCol w:w="4539"/>
        <w:gridCol w:w="672"/>
        <w:gridCol w:w="1134"/>
        <w:gridCol w:w="2834"/>
        <w:gridCol w:w="4149"/>
      </w:tblGrid>
      <w:tr w:rsidR="00110EC2" w14:paraId="7120ADCA" w14:textId="77777777" w:rsidTr="00110EC2">
        <w:tc>
          <w:tcPr>
            <w:tcW w:w="1701" w:type="dxa"/>
            <w:shd w:val="clear" w:color="auto" w:fill="DBE5F1" w:themeFill="accent1" w:themeFillTint="33"/>
          </w:tcPr>
          <w:p w14:paraId="0A1CB416" w14:textId="6A1B8204" w:rsidR="00110EC2" w:rsidRPr="00275679" w:rsidRDefault="00110EC2" w:rsidP="00110EC2">
            <w:pPr>
              <w:spacing w:before="120" w:after="120"/>
              <w:jc w:val="center"/>
              <w:rPr>
                <w:b/>
                <w:sz w:val="18"/>
                <w:szCs w:val="18"/>
              </w:rPr>
            </w:pPr>
            <w:r w:rsidRPr="00447869">
              <w:rPr>
                <w:rFonts w:asciiTheme="minorHAnsi" w:hAnsiTheme="minorHAnsi"/>
                <w:b/>
              </w:rPr>
              <w:t>ITEM</w:t>
            </w:r>
          </w:p>
        </w:tc>
        <w:tc>
          <w:tcPr>
            <w:tcW w:w="4539" w:type="dxa"/>
            <w:shd w:val="clear" w:color="auto" w:fill="DBE5F1" w:themeFill="accent1" w:themeFillTint="33"/>
          </w:tcPr>
          <w:p w14:paraId="0A356F9C" w14:textId="70594E57" w:rsidR="00110EC2" w:rsidRPr="000E0203" w:rsidRDefault="00110EC2" w:rsidP="00110EC2">
            <w:pPr>
              <w:spacing w:before="120" w:after="120"/>
              <w:jc w:val="center"/>
            </w:pPr>
            <w:r w:rsidRPr="00447869">
              <w:rPr>
                <w:rFonts w:asciiTheme="minorHAnsi" w:hAnsiTheme="minorHAnsi"/>
                <w:b/>
              </w:rPr>
              <w:t>CRITERIA FOR THE CLINICAL USE OF INTRAVENOUS IMMUNOGLOBULIN IN AUSTRALIA, SECOND EDITION (CRITERIA)</w:t>
            </w:r>
          </w:p>
        </w:tc>
        <w:tc>
          <w:tcPr>
            <w:tcW w:w="4640" w:type="dxa"/>
            <w:gridSpan w:val="3"/>
            <w:shd w:val="clear" w:color="auto" w:fill="DBE5F1" w:themeFill="accent1" w:themeFillTint="33"/>
          </w:tcPr>
          <w:p w14:paraId="3F076F51" w14:textId="21447175" w:rsidR="00110EC2" w:rsidRDefault="00110EC2" w:rsidP="00110EC2">
            <w:pPr>
              <w:spacing w:before="120" w:after="120"/>
            </w:pPr>
            <w:r w:rsidRPr="00447869">
              <w:rPr>
                <w:rFonts w:asciiTheme="minorHAnsi" w:hAnsiTheme="minorHAnsi"/>
                <w:b/>
              </w:rPr>
              <w:t>PROPOSED REVISIONS TO THE CRITERIA</w:t>
            </w:r>
          </w:p>
          <w:p w14:paraId="51DB243D" w14:textId="5F0A17EB" w:rsidR="00110EC2" w:rsidRPr="00110EC2" w:rsidRDefault="00110EC2" w:rsidP="00110EC2">
            <w:pPr>
              <w:tabs>
                <w:tab w:val="left" w:pos="1185"/>
              </w:tabs>
              <w:spacing w:before="120" w:after="120"/>
            </w:pPr>
            <w:r>
              <w:tab/>
            </w:r>
          </w:p>
        </w:tc>
        <w:tc>
          <w:tcPr>
            <w:tcW w:w="4149" w:type="dxa"/>
            <w:shd w:val="clear" w:color="auto" w:fill="DBE5F1" w:themeFill="accent1" w:themeFillTint="33"/>
          </w:tcPr>
          <w:p w14:paraId="6B280454" w14:textId="77777777" w:rsidR="00110EC2" w:rsidRPr="00447869" w:rsidRDefault="00110EC2" w:rsidP="00110EC2">
            <w:pPr>
              <w:spacing w:before="120" w:after="120"/>
              <w:jc w:val="center"/>
              <w:rPr>
                <w:rFonts w:asciiTheme="minorHAnsi" w:eastAsia="Times New Roman" w:hAnsiTheme="minorHAnsi" w:cs="Times New Roman"/>
                <w:b/>
                <w:bCs/>
                <w:lang w:eastAsia="en-AU"/>
              </w:rPr>
            </w:pPr>
            <w:r w:rsidRPr="00447869">
              <w:rPr>
                <w:rFonts w:asciiTheme="minorHAnsi" w:eastAsia="Times New Roman" w:hAnsiTheme="minorHAnsi" w:cs="Times New Roman"/>
                <w:b/>
                <w:bCs/>
                <w:lang w:eastAsia="en-AU"/>
              </w:rPr>
              <w:t>SWG RATIONALE FOR PROPOSED CHANGE</w:t>
            </w:r>
          </w:p>
          <w:p w14:paraId="793B0086" w14:textId="77777777" w:rsidR="00110EC2" w:rsidRPr="00447869" w:rsidRDefault="00110EC2" w:rsidP="00110EC2">
            <w:pPr>
              <w:spacing w:before="120" w:after="120"/>
              <w:jc w:val="center"/>
              <w:rPr>
                <w:rFonts w:asciiTheme="minorHAnsi" w:eastAsia="Times New Roman" w:hAnsiTheme="minorHAnsi" w:cs="Times New Roman"/>
                <w:b/>
                <w:bCs/>
                <w:lang w:eastAsia="en-AU"/>
              </w:rPr>
            </w:pPr>
            <w:r w:rsidRPr="00447869">
              <w:rPr>
                <w:rFonts w:asciiTheme="minorHAnsi" w:eastAsia="Times New Roman" w:hAnsiTheme="minorHAnsi" w:cs="Times New Roman"/>
                <w:b/>
                <w:bCs/>
                <w:lang w:eastAsia="en-AU"/>
              </w:rPr>
              <w:t>(A) Administrative)</w:t>
            </w:r>
          </w:p>
          <w:p w14:paraId="6790182D" w14:textId="77777777" w:rsidR="00110EC2" w:rsidRPr="00447869" w:rsidRDefault="00110EC2" w:rsidP="00110EC2">
            <w:pPr>
              <w:spacing w:before="120" w:after="120"/>
              <w:jc w:val="center"/>
              <w:rPr>
                <w:rFonts w:asciiTheme="minorHAnsi" w:eastAsia="Times New Roman" w:hAnsiTheme="minorHAnsi" w:cs="Times New Roman"/>
                <w:b/>
                <w:bCs/>
                <w:lang w:eastAsia="en-AU"/>
              </w:rPr>
            </w:pPr>
            <w:r w:rsidRPr="00447869">
              <w:rPr>
                <w:rFonts w:asciiTheme="minorHAnsi" w:eastAsia="Times New Roman" w:hAnsiTheme="minorHAnsi" w:cs="Times New Roman"/>
                <w:b/>
                <w:bCs/>
                <w:lang w:eastAsia="en-AU"/>
              </w:rPr>
              <w:t>(B) Progressive</w:t>
            </w:r>
          </w:p>
          <w:p w14:paraId="1B464062" w14:textId="1DFC6E29" w:rsidR="00110EC2" w:rsidRDefault="00110EC2" w:rsidP="00110EC2">
            <w:pPr>
              <w:spacing w:before="120" w:after="120"/>
              <w:jc w:val="center"/>
            </w:pPr>
            <w:r w:rsidRPr="00447869">
              <w:rPr>
                <w:rFonts w:asciiTheme="minorHAnsi" w:eastAsia="Times New Roman" w:hAnsiTheme="minorHAnsi" w:cs="Times New Roman"/>
                <w:b/>
                <w:bCs/>
                <w:lang w:eastAsia="en-AU"/>
              </w:rPr>
              <w:t>(C) Programmed</w:t>
            </w:r>
          </w:p>
        </w:tc>
      </w:tr>
      <w:tr w:rsidR="00977717" w14:paraId="1427F168" w14:textId="77777777" w:rsidTr="00110EC2">
        <w:tc>
          <w:tcPr>
            <w:tcW w:w="1701" w:type="dxa"/>
            <w:shd w:val="clear" w:color="auto" w:fill="D9D9D9" w:themeFill="background1" w:themeFillShade="D9"/>
          </w:tcPr>
          <w:p w14:paraId="4697FF78" w14:textId="77777777" w:rsidR="00977717" w:rsidRPr="00275679" w:rsidRDefault="00977717" w:rsidP="00110EC2">
            <w:pPr>
              <w:spacing w:before="120" w:after="120"/>
              <w:rPr>
                <w:b/>
                <w:sz w:val="18"/>
                <w:szCs w:val="18"/>
              </w:rPr>
            </w:pPr>
            <w:r w:rsidRPr="00275679">
              <w:rPr>
                <w:b/>
                <w:sz w:val="18"/>
                <w:szCs w:val="18"/>
              </w:rPr>
              <w:t>Condition Name</w:t>
            </w:r>
          </w:p>
        </w:tc>
        <w:tc>
          <w:tcPr>
            <w:tcW w:w="4539" w:type="dxa"/>
          </w:tcPr>
          <w:p w14:paraId="3E41B1C9" w14:textId="77777777" w:rsidR="00977717" w:rsidRPr="00BE43EC" w:rsidRDefault="00977717" w:rsidP="00977717">
            <w:r w:rsidRPr="00BE43EC">
              <w:t>Stiff person syndrome</w:t>
            </w:r>
          </w:p>
          <w:p w14:paraId="53D6D3B2" w14:textId="794E3D63" w:rsidR="00977717" w:rsidRPr="00DB1925" w:rsidRDefault="00977717" w:rsidP="00110EC2">
            <w:pPr>
              <w:spacing w:before="120" w:after="120"/>
            </w:pPr>
            <w:r w:rsidRPr="00BE43EC">
              <w:t>(</w:t>
            </w:r>
            <w:proofErr w:type="spellStart"/>
            <w:r w:rsidRPr="00BE43EC">
              <w:t>Moersch</w:t>
            </w:r>
            <w:proofErr w:type="spellEnd"/>
            <w:r w:rsidRPr="00BE43EC">
              <w:t>–</w:t>
            </w:r>
            <w:proofErr w:type="spellStart"/>
            <w:r w:rsidRPr="00BE43EC">
              <w:t>Woltmann</w:t>
            </w:r>
            <w:proofErr w:type="spellEnd"/>
            <w:r w:rsidRPr="00BE43EC">
              <w:t xml:space="preserve"> syndrome)</w:t>
            </w:r>
          </w:p>
        </w:tc>
        <w:tc>
          <w:tcPr>
            <w:tcW w:w="4640" w:type="dxa"/>
            <w:gridSpan w:val="3"/>
          </w:tcPr>
          <w:p w14:paraId="3167F8D0" w14:textId="49960935" w:rsidR="00977717" w:rsidRPr="006747C4" w:rsidRDefault="00977717" w:rsidP="00110EC2">
            <w:pPr>
              <w:spacing w:before="120" w:after="120"/>
            </w:pPr>
            <w:r w:rsidRPr="00743784">
              <w:rPr>
                <w:b/>
              </w:rPr>
              <w:t>Stiff person syndrome</w:t>
            </w:r>
          </w:p>
        </w:tc>
        <w:tc>
          <w:tcPr>
            <w:tcW w:w="4149" w:type="dxa"/>
          </w:tcPr>
          <w:p w14:paraId="7CC1069F" w14:textId="1BEC150A" w:rsidR="00977717" w:rsidRPr="006747C4" w:rsidRDefault="00977717" w:rsidP="00110EC2">
            <w:pPr>
              <w:spacing w:before="120" w:after="120"/>
            </w:pPr>
            <w:r w:rsidRPr="00CF4050">
              <w:t xml:space="preserve">Term - </w:t>
            </w:r>
            <w:proofErr w:type="spellStart"/>
            <w:r w:rsidRPr="00CF4050">
              <w:t>Moersch</w:t>
            </w:r>
            <w:proofErr w:type="spellEnd"/>
            <w:r w:rsidRPr="00CF4050">
              <w:t>–</w:t>
            </w:r>
            <w:proofErr w:type="spellStart"/>
            <w:r w:rsidRPr="00CF4050">
              <w:t>Woltmann</w:t>
            </w:r>
            <w:proofErr w:type="spellEnd"/>
            <w:r w:rsidRPr="00CF4050">
              <w:t xml:space="preserve"> Syndrome no longer used</w:t>
            </w:r>
          </w:p>
        </w:tc>
      </w:tr>
      <w:tr w:rsidR="00977717" w14:paraId="01B31717" w14:textId="77777777" w:rsidTr="00110EC2">
        <w:tc>
          <w:tcPr>
            <w:tcW w:w="1701" w:type="dxa"/>
            <w:shd w:val="clear" w:color="auto" w:fill="D9D9D9" w:themeFill="background1" w:themeFillShade="D9"/>
          </w:tcPr>
          <w:p w14:paraId="5B64EF22" w14:textId="77777777" w:rsidR="00977717" w:rsidRDefault="00977717" w:rsidP="00110EC2">
            <w:pPr>
              <w:spacing w:before="120" w:after="120"/>
            </w:pPr>
            <w:r w:rsidRPr="007B4075">
              <w:rPr>
                <w:b/>
                <w:sz w:val="18"/>
                <w:szCs w:val="18"/>
              </w:rPr>
              <w:t>Specialty</w:t>
            </w:r>
          </w:p>
        </w:tc>
        <w:tc>
          <w:tcPr>
            <w:tcW w:w="4539" w:type="dxa"/>
          </w:tcPr>
          <w:p w14:paraId="4A36C8B6" w14:textId="6B084DFD" w:rsidR="00977717" w:rsidRPr="00DB1925" w:rsidRDefault="00977717" w:rsidP="00110EC2">
            <w:pPr>
              <w:spacing w:before="120" w:after="120"/>
            </w:pPr>
            <w:r>
              <w:rPr>
                <w:sz w:val="18"/>
                <w:szCs w:val="18"/>
              </w:rPr>
              <w:t>Neurology</w:t>
            </w:r>
          </w:p>
        </w:tc>
        <w:tc>
          <w:tcPr>
            <w:tcW w:w="4640" w:type="dxa"/>
            <w:gridSpan w:val="3"/>
          </w:tcPr>
          <w:p w14:paraId="32BED465" w14:textId="38A4CE22" w:rsidR="00977717" w:rsidRPr="006747C4" w:rsidRDefault="00977717" w:rsidP="00110EC2">
            <w:pPr>
              <w:spacing w:before="120" w:after="120"/>
            </w:pPr>
            <w:r w:rsidRPr="00743784">
              <w:t>Neurology</w:t>
            </w:r>
          </w:p>
        </w:tc>
        <w:tc>
          <w:tcPr>
            <w:tcW w:w="4149" w:type="dxa"/>
          </w:tcPr>
          <w:p w14:paraId="5DE6FE35" w14:textId="77777777" w:rsidR="00977717" w:rsidRPr="006747C4" w:rsidRDefault="00977717" w:rsidP="00110EC2">
            <w:pPr>
              <w:spacing w:before="120" w:after="120"/>
            </w:pPr>
          </w:p>
        </w:tc>
      </w:tr>
      <w:tr w:rsidR="001024B4" w14:paraId="05664D2E" w14:textId="77777777" w:rsidTr="00110EC2">
        <w:tc>
          <w:tcPr>
            <w:tcW w:w="1701" w:type="dxa"/>
            <w:shd w:val="clear" w:color="auto" w:fill="D9D9D9" w:themeFill="background1" w:themeFillShade="D9"/>
          </w:tcPr>
          <w:p w14:paraId="4E898D0B" w14:textId="77777777" w:rsidR="001024B4" w:rsidRDefault="001024B4" w:rsidP="00110EC2">
            <w:pPr>
              <w:spacing w:before="120" w:after="120"/>
            </w:pPr>
            <w:r w:rsidRPr="007B4075">
              <w:rPr>
                <w:b/>
                <w:sz w:val="18"/>
                <w:szCs w:val="18"/>
              </w:rPr>
              <w:t>Chapter</w:t>
            </w:r>
          </w:p>
        </w:tc>
        <w:tc>
          <w:tcPr>
            <w:tcW w:w="4539" w:type="dxa"/>
          </w:tcPr>
          <w:p w14:paraId="0DF4C7FA" w14:textId="61F7AFB5" w:rsidR="001024B4" w:rsidRDefault="00977717" w:rsidP="00110EC2">
            <w:pPr>
              <w:spacing w:before="120" w:after="120"/>
            </w:pPr>
            <w:r>
              <w:t>5</w:t>
            </w:r>
          </w:p>
        </w:tc>
        <w:tc>
          <w:tcPr>
            <w:tcW w:w="4640" w:type="dxa"/>
            <w:gridSpan w:val="3"/>
          </w:tcPr>
          <w:p w14:paraId="02A8784C" w14:textId="761CB01B" w:rsidR="001024B4" w:rsidRPr="006747C4" w:rsidRDefault="00977717" w:rsidP="00110EC2">
            <w:pPr>
              <w:spacing w:before="120" w:after="120"/>
            </w:pPr>
            <w:r>
              <w:t>5</w:t>
            </w:r>
          </w:p>
        </w:tc>
        <w:tc>
          <w:tcPr>
            <w:tcW w:w="4149" w:type="dxa"/>
          </w:tcPr>
          <w:p w14:paraId="141BB11C" w14:textId="77777777" w:rsidR="001024B4" w:rsidRPr="006747C4" w:rsidRDefault="001024B4" w:rsidP="00110EC2">
            <w:pPr>
              <w:spacing w:before="120" w:after="120"/>
            </w:pPr>
          </w:p>
        </w:tc>
      </w:tr>
      <w:tr w:rsidR="001024B4" w14:paraId="2385FD18" w14:textId="77777777" w:rsidTr="00110EC2">
        <w:tc>
          <w:tcPr>
            <w:tcW w:w="1701" w:type="dxa"/>
            <w:shd w:val="clear" w:color="auto" w:fill="D9D9D9" w:themeFill="background1" w:themeFillShade="D9"/>
          </w:tcPr>
          <w:p w14:paraId="40AB8533" w14:textId="77777777" w:rsidR="001024B4" w:rsidRPr="007B4075" w:rsidRDefault="001024B4" w:rsidP="00110EC2">
            <w:pPr>
              <w:spacing w:before="120" w:after="120"/>
              <w:rPr>
                <w:b/>
                <w:sz w:val="18"/>
                <w:szCs w:val="18"/>
              </w:rPr>
            </w:pPr>
            <w:r w:rsidRPr="007B4075">
              <w:rPr>
                <w:b/>
                <w:sz w:val="18"/>
                <w:szCs w:val="18"/>
              </w:rPr>
              <w:t>Specific Conditions</w:t>
            </w:r>
          </w:p>
          <w:p w14:paraId="1D87CD0F" w14:textId="77777777" w:rsidR="001024B4" w:rsidRDefault="001024B4" w:rsidP="00110EC2">
            <w:pPr>
              <w:spacing w:before="120" w:after="120"/>
            </w:pPr>
          </w:p>
        </w:tc>
        <w:tc>
          <w:tcPr>
            <w:tcW w:w="4539" w:type="dxa"/>
          </w:tcPr>
          <w:p w14:paraId="7DD27117" w14:textId="275419E9" w:rsidR="001024B4" w:rsidRDefault="001024B4" w:rsidP="00110EC2">
            <w:pPr>
              <w:spacing w:before="120" w:after="120"/>
            </w:pPr>
          </w:p>
        </w:tc>
        <w:tc>
          <w:tcPr>
            <w:tcW w:w="4640" w:type="dxa"/>
            <w:gridSpan w:val="3"/>
          </w:tcPr>
          <w:p w14:paraId="0D498BD9" w14:textId="77777777" w:rsidR="001024B4" w:rsidRPr="006747C4" w:rsidRDefault="001024B4" w:rsidP="00110EC2">
            <w:pPr>
              <w:spacing w:before="120" w:after="120"/>
            </w:pPr>
          </w:p>
        </w:tc>
        <w:tc>
          <w:tcPr>
            <w:tcW w:w="4149" w:type="dxa"/>
          </w:tcPr>
          <w:p w14:paraId="5986CD7C" w14:textId="77777777" w:rsidR="001024B4" w:rsidRPr="006747C4" w:rsidRDefault="001024B4" w:rsidP="00110EC2">
            <w:pPr>
              <w:spacing w:before="120" w:after="120"/>
            </w:pPr>
          </w:p>
        </w:tc>
      </w:tr>
      <w:tr w:rsidR="00977717" w14:paraId="609BB977" w14:textId="77777777" w:rsidTr="00110EC2">
        <w:tc>
          <w:tcPr>
            <w:tcW w:w="1701" w:type="dxa"/>
            <w:shd w:val="clear" w:color="auto" w:fill="D9D9D9" w:themeFill="background1" w:themeFillShade="D9"/>
          </w:tcPr>
          <w:p w14:paraId="664B3C89" w14:textId="77777777" w:rsidR="00977717" w:rsidRPr="00644285" w:rsidRDefault="00977717" w:rsidP="00977717">
            <w:pPr>
              <w:spacing w:before="120" w:after="120"/>
              <w:rPr>
                <w:b/>
                <w:sz w:val="18"/>
                <w:szCs w:val="18"/>
              </w:rPr>
            </w:pPr>
            <w:r w:rsidRPr="00644285">
              <w:rPr>
                <w:b/>
                <w:sz w:val="18"/>
                <w:szCs w:val="18"/>
              </w:rPr>
              <w:t>Level of Evidence</w:t>
            </w:r>
          </w:p>
          <w:p w14:paraId="6F5E4429" w14:textId="77777777" w:rsidR="00977717" w:rsidRDefault="00977717" w:rsidP="00977717">
            <w:pPr>
              <w:spacing w:before="120" w:after="120"/>
            </w:pPr>
          </w:p>
        </w:tc>
        <w:tc>
          <w:tcPr>
            <w:tcW w:w="4539" w:type="dxa"/>
          </w:tcPr>
          <w:p w14:paraId="0E69C46C" w14:textId="611B5F77" w:rsidR="00977717" w:rsidRPr="00463B0C" w:rsidRDefault="00977717" w:rsidP="00977717">
            <w:pPr>
              <w:spacing w:before="120" w:after="120"/>
              <w:rPr>
                <w:rFonts w:asciiTheme="minorHAnsi" w:hAnsiTheme="minorHAnsi" w:cs="DIN-Light"/>
                <w:color w:val="000000"/>
              </w:rPr>
            </w:pPr>
            <w:r w:rsidRPr="00BE43EC">
              <w:t>Evidence of probable benefit (Category 2a).</w:t>
            </w:r>
          </w:p>
        </w:tc>
        <w:tc>
          <w:tcPr>
            <w:tcW w:w="4640" w:type="dxa"/>
            <w:gridSpan w:val="3"/>
          </w:tcPr>
          <w:p w14:paraId="5EF72C8C" w14:textId="04449134" w:rsidR="00977717" w:rsidRPr="006747C4" w:rsidRDefault="00977717" w:rsidP="00977717">
            <w:pPr>
              <w:spacing w:before="120" w:after="120"/>
            </w:pPr>
            <w:r w:rsidRPr="00BE43EC">
              <w:t>Evidence of probable benefit (Category 2a).</w:t>
            </w:r>
          </w:p>
        </w:tc>
        <w:tc>
          <w:tcPr>
            <w:tcW w:w="4149" w:type="dxa"/>
          </w:tcPr>
          <w:p w14:paraId="4B74F304" w14:textId="200103B3" w:rsidR="00977717" w:rsidRPr="006747C4" w:rsidRDefault="00977717" w:rsidP="00977717">
            <w:pPr>
              <w:spacing w:before="120" w:after="120"/>
            </w:pPr>
            <w:r w:rsidRPr="00CF4050">
              <w:t>Unchanged.</w:t>
            </w:r>
          </w:p>
        </w:tc>
      </w:tr>
      <w:tr w:rsidR="00977717" w14:paraId="4D8436C9" w14:textId="77777777" w:rsidTr="00110EC2">
        <w:tc>
          <w:tcPr>
            <w:tcW w:w="1701" w:type="dxa"/>
            <w:shd w:val="clear" w:color="auto" w:fill="D9D9D9" w:themeFill="background1" w:themeFillShade="D9"/>
          </w:tcPr>
          <w:p w14:paraId="51270257" w14:textId="77777777" w:rsidR="00977717" w:rsidRPr="00644285" w:rsidRDefault="00977717" w:rsidP="00110EC2">
            <w:pPr>
              <w:spacing w:before="120" w:after="120"/>
              <w:rPr>
                <w:b/>
                <w:sz w:val="18"/>
                <w:szCs w:val="18"/>
              </w:rPr>
            </w:pPr>
            <w:r w:rsidRPr="00644285">
              <w:rPr>
                <w:b/>
                <w:sz w:val="18"/>
                <w:szCs w:val="18"/>
              </w:rPr>
              <w:t>Justification for Evidence Category</w:t>
            </w:r>
          </w:p>
          <w:p w14:paraId="6091A3F6" w14:textId="77777777" w:rsidR="00977717" w:rsidRDefault="00977717" w:rsidP="00110EC2">
            <w:pPr>
              <w:spacing w:before="120" w:after="120"/>
            </w:pPr>
          </w:p>
        </w:tc>
        <w:tc>
          <w:tcPr>
            <w:tcW w:w="4539" w:type="dxa"/>
          </w:tcPr>
          <w:p w14:paraId="0E8946DA" w14:textId="77777777" w:rsidR="00977717" w:rsidRPr="00BE43EC" w:rsidRDefault="00977717" w:rsidP="00977717">
            <w:r w:rsidRPr="00BE43EC">
              <w:t xml:space="preserve">The </w:t>
            </w:r>
            <w:proofErr w:type="spellStart"/>
            <w:r w:rsidRPr="00BE43EC">
              <w:t>Bio</w:t>
            </w:r>
            <w:r>
              <w:t>text</w:t>
            </w:r>
            <w:proofErr w:type="spellEnd"/>
            <w:r>
              <w:t xml:space="preserve"> (2004) review included one </w:t>
            </w:r>
            <w:r w:rsidRPr="00BE43EC">
              <w:t>randomised,</w:t>
            </w:r>
            <w:r>
              <w:t xml:space="preserve"> </w:t>
            </w:r>
            <w:r w:rsidRPr="00BE43EC">
              <w:t>double blind, placebo-co</w:t>
            </w:r>
            <w:r>
              <w:t xml:space="preserve">ntrolled trial with a crossover </w:t>
            </w:r>
            <w:r w:rsidRPr="00BE43EC">
              <w:t>design of 16 patients</w:t>
            </w:r>
            <w:r>
              <w:t xml:space="preserve"> with stiff person syndrome and </w:t>
            </w:r>
            <w:r w:rsidRPr="00BE43EC">
              <w:t>anti-GAD-65 antibodies.</w:t>
            </w:r>
            <w:r>
              <w:t xml:space="preserve"> A significant treatment effect </w:t>
            </w:r>
            <w:r w:rsidRPr="00BE43EC">
              <w:t xml:space="preserve">with </w:t>
            </w:r>
            <w:proofErr w:type="spellStart"/>
            <w:r w:rsidRPr="00BE43EC">
              <w:t>IVIg</w:t>
            </w:r>
            <w:proofErr w:type="spellEnd"/>
            <w:r w:rsidRPr="00BE43EC">
              <w:t xml:space="preserve"> was seen, r</w:t>
            </w:r>
            <w:r>
              <w:t xml:space="preserve">esulting in patients’ decreased </w:t>
            </w:r>
            <w:r w:rsidRPr="00BE43EC">
              <w:t>stiffness and heightened sensitivity scores.</w:t>
            </w:r>
          </w:p>
          <w:p w14:paraId="436FCA59" w14:textId="77777777" w:rsidR="00977717" w:rsidRDefault="00977717" w:rsidP="00977717"/>
          <w:p w14:paraId="007A4DE8" w14:textId="32B2982B" w:rsidR="00977717" w:rsidRPr="000E0203" w:rsidRDefault="00977717" w:rsidP="00110EC2">
            <w:pPr>
              <w:spacing w:before="120" w:after="120"/>
            </w:pPr>
            <w:r w:rsidRPr="00BE43EC">
              <w:t>According t</w:t>
            </w:r>
            <w:r>
              <w:t xml:space="preserve">o expert consensus, considering </w:t>
            </w:r>
            <w:r w:rsidRPr="00BE43EC">
              <w:t>the disabling pro</w:t>
            </w:r>
            <w:r>
              <w:t xml:space="preserve">gressive course of stiff person </w:t>
            </w:r>
            <w:r w:rsidRPr="00BE43EC">
              <w:t xml:space="preserve">syndrome, </w:t>
            </w:r>
            <w:proofErr w:type="spellStart"/>
            <w:r w:rsidRPr="00BE43EC">
              <w:t>IVIg</w:t>
            </w:r>
            <w:proofErr w:type="spellEnd"/>
            <w:r w:rsidRPr="00BE43EC">
              <w:t xml:space="preserve"> should</w:t>
            </w:r>
            <w:r>
              <w:t xml:space="preserve"> be offered as the first-line </w:t>
            </w:r>
            <w:r w:rsidRPr="00BE43EC">
              <w:t>treatment. Altho</w:t>
            </w:r>
            <w:r>
              <w:t xml:space="preserve">ugh periodic infusions would be </w:t>
            </w:r>
            <w:r w:rsidRPr="00BE43EC">
              <w:t>required in the majority</w:t>
            </w:r>
            <w:r>
              <w:t xml:space="preserve">, further studies are needed to </w:t>
            </w:r>
            <w:r w:rsidRPr="00BE43EC">
              <w:t>determine optimal do</w:t>
            </w:r>
            <w:r>
              <w:t xml:space="preserve">sage and duration (Asia–Pacific </w:t>
            </w:r>
            <w:r w:rsidRPr="00BE43EC">
              <w:t xml:space="preserve">Advisory </w:t>
            </w:r>
            <w:r w:rsidRPr="00BE43EC">
              <w:lastRenderedPageBreak/>
              <w:t>Board 2004).</w:t>
            </w:r>
          </w:p>
        </w:tc>
        <w:tc>
          <w:tcPr>
            <w:tcW w:w="4640" w:type="dxa"/>
            <w:gridSpan w:val="3"/>
          </w:tcPr>
          <w:p w14:paraId="08846950" w14:textId="77777777" w:rsidR="00977717" w:rsidRDefault="00977717" w:rsidP="00977717">
            <w:r>
              <w:lastRenderedPageBreak/>
              <w:t xml:space="preserve">The </w:t>
            </w:r>
            <w:proofErr w:type="spellStart"/>
            <w:r>
              <w:t>Biotext</w:t>
            </w:r>
            <w:proofErr w:type="spellEnd"/>
            <w:r>
              <w:t xml:space="preserve"> (2004) review included one randomised, double blind, placebo-controlled trial with a crossover design of 16 patients with stiff person syndrome and anti-GAD-65 antibodies. A significant treatment effect with </w:t>
            </w:r>
            <w:proofErr w:type="spellStart"/>
            <w:r>
              <w:t>IVIg</w:t>
            </w:r>
            <w:proofErr w:type="spellEnd"/>
            <w:r>
              <w:t xml:space="preserve"> was seen, resulting in patients’ decreased stiffness and heightened sensitivity scores.</w:t>
            </w:r>
          </w:p>
          <w:p w14:paraId="5AC8E4AC" w14:textId="77777777" w:rsidR="00977717" w:rsidRDefault="00977717" w:rsidP="00977717"/>
          <w:p w14:paraId="6F0B61B2" w14:textId="67F986AE" w:rsidR="00977717" w:rsidRPr="00DF0736" w:rsidRDefault="00977717" w:rsidP="00110EC2">
            <w:pPr>
              <w:spacing w:before="120" w:after="120"/>
            </w:pPr>
            <w:r>
              <w:t xml:space="preserve">According to expert consensus, considering the disabling progressive course of stiff person syndrome, </w:t>
            </w:r>
            <w:proofErr w:type="spellStart"/>
            <w:r>
              <w:t>IVIg</w:t>
            </w:r>
            <w:proofErr w:type="spellEnd"/>
            <w:r>
              <w:t xml:space="preserve"> should be offered as the first-line treatment. Although periodic infusions would be required in the majority, further studies are needed to determine optimal dosage and </w:t>
            </w:r>
            <w:r>
              <w:lastRenderedPageBreak/>
              <w:t>duration (Asia–Pacific Advisory Board 2004).</w:t>
            </w:r>
          </w:p>
        </w:tc>
        <w:tc>
          <w:tcPr>
            <w:tcW w:w="4149" w:type="dxa"/>
          </w:tcPr>
          <w:p w14:paraId="22AFCE25" w14:textId="1AD5E118" w:rsidR="00977717" w:rsidRPr="006747C4" w:rsidRDefault="00977717" w:rsidP="00110EC2">
            <w:pPr>
              <w:spacing w:before="120" w:after="120"/>
            </w:pPr>
            <w:r w:rsidRPr="00CF4050">
              <w:lastRenderedPageBreak/>
              <w:t>Unchanged.</w:t>
            </w:r>
          </w:p>
        </w:tc>
      </w:tr>
      <w:tr w:rsidR="00977717" w14:paraId="03A23C02" w14:textId="77777777" w:rsidTr="00110EC2">
        <w:tc>
          <w:tcPr>
            <w:tcW w:w="1701" w:type="dxa"/>
            <w:shd w:val="clear" w:color="auto" w:fill="D9D9D9" w:themeFill="background1" w:themeFillShade="D9"/>
          </w:tcPr>
          <w:p w14:paraId="64369296" w14:textId="77777777" w:rsidR="00977717" w:rsidRPr="00644285" w:rsidRDefault="00977717" w:rsidP="00110EC2">
            <w:pPr>
              <w:spacing w:before="120" w:after="120"/>
              <w:rPr>
                <w:b/>
                <w:sz w:val="18"/>
                <w:szCs w:val="18"/>
              </w:rPr>
            </w:pPr>
            <w:r w:rsidRPr="00644285">
              <w:rPr>
                <w:b/>
                <w:sz w:val="18"/>
                <w:szCs w:val="18"/>
              </w:rPr>
              <w:lastRenderedPageBreak/>
              <w:t>Description and Diagnostic Criteria</w:t>
            </w:r>
          </w:p>
          <w:p w14:paraId="1CA26EF8" w14:textId="77777777" w:rsidR="00977717" w:rsidRDefault="00977717" w:rsidP="00110EC2">
            <w:pPr>
              <w:spacing w:before="120" w:after="120"/>
            </w:pPr>
          </w:p>
        </w:tc>
        <w:tc>
          <w:tcPr>
            <w:tcW w:w="4539" w:type="dxa"/>
          </w:tcPr>
          <w:p w14:paraId="2B1A731B" w14:textId="77777777" w:rsidR="00977717" w:rsidRPr="00BE43EC" w:rsidRDefault="00977717" w:rsidP="00977717">
            <w:r w:rsidRPr="00BE43EC">
              <w:t>Patients with stiff person syndrome present</w:t>
            </w:r>
            <w:r>
              <w:t xml:space="preserve"> </w:t>
            </w:r>
            <w:r w:rsidRPr="00BE43EC">
              <w:t>with symptoms relate</w:t>
            </w:r>
            <w:r>
              <w:t xml:space="preserve">d to muscular rigidity and </w:t>
            </w:r>
            <w:r w:rsidRPr="00BE43EC">
              <w:t>superimpose</w:t>
            </w:r>
            <w:r>
              <w:t xml:space="preserve">d episodic spasms. The rigidity </w:t>
            </w:r>
            <w:r w:rsidRPr="00BE43EC">
              <w:t>insidiously spreads inv</w:t>
            </w:r>
            <w:r>
              <w:t xml:space="preserve">olving axial muscles, primarily </w:t>
            </w:r>
            <w:r w:rsidRPr="00BE43EC">
              <w:t>abdominal and tho</w:t>
            </w:r>
            <w:r>
              <w:t xml:space="preserve">racolumbar, as well as proximal </w:t>
            </w:r>
            <w:r w:rsidRPr="00BE43EC">
              <w:t>limb muscles. Typic</w:t>
            </w:r>
            <w:r>
              <w:t xml:space="preserve">ally, co-contraction of </w:t>
            </w:r>
            <w:proofErr w:type="spellStart"/>
            <w:r>
              <w:t>truncal</w:t>
            </w:r>
            <w:proofErr w:type="spellEnd"/>
            <w:r>
              <w:t xml:space="preserve"> </w:t>
            </w:r>
            <w:r w:rsidRPr="00BE43EC">
              <w:t>agonist and antagonistic muscle</w:t>
            </w:r>
            <w:r>
              <w:t xml:space="preserve">s leads to a </w:t>
            </w:r>
            <w:r w:rsidRPr="00BE43EC">
              <w:t>board-like appe</w:t>
            </w:r>
            <w:r>
              <w:t xml:space="preserve">arance with </w:t>
            </w:r>
            <w:proofErr w:type="spellStart"/>
            <w:r>
              <w:t>hyperlordosis</w:t>
            </w:r>
            <w:proofErr w:type="spellEnd"/>
            <w:r>
              <w:t xml:space="preserve">. Less </w:t>
            </w:r>
            <w:r w:rsidRPr="00BE43EC">
              <w:t>frequently, respirat</w:t>
            </w:r>
            <w:r>
              <w:t xml:space="preserve">ory muscle involvement leads to </w:t>
            </w:r>
            <w:r w:rsidRPr="00BE43EC">
              <w:t>breathing difficulty and facial muscle involvement to</w:t>
            </w:r>
            <w:r>
              <w:t xml:space="preserve"> </w:t>
            </w:r>
            <w:r w:rsidRPr="00BE43EC">
              <w:t>a mask-like face.</w:t>
            </w:r>
          </w:p>
          <w:p w14:paraId="30BE9AD1" w14:textId="77777777" w:rsidR="00977717" w:rsidRDefault="00977717" w:rsidP="00977717"/>
          <w:p w14:paraId="1867BAEE" w14:textId="1B460CC2" w:rsidR="00977717" w:rsidRDefault="00977717" w:rsidP="00110EC2">
            <w:pPr>
              <w:spacing w:before="120" w:after="120"/>
            </w:pPr>
            <w:r w:rsidRPr="00BE43EC">
              <w:t>Investigations t</w:t>
            </w:r>
            <w:r>
              <w:t xml:space="preserve">hat may be useful for diagnosis </w:t>
            </w:r>
            <w:r w:rsidRPr="00BE43EC">
              <w:t xml:space="preserve">include auto-antibodies </w:t>
            </w:r>
            <w:r>
              <w:t xml:space="preserve">to GAD-65 or GAD-67, </w:t>
            </w:r>
            <w:r w:rsidRPr="00BE43EC">
              <w:t>electromyography rec</w:t>
            </w:r>
            <w:r>
              <w:t xml:space="preserve">ordings from stiff muscles that </w:t>
            </w:r>
            <w:r w:rsidRPr="00BE43EC">
              <w:t>may show continuou</w:t>
            </w:r>
            <w:r>
              <w:t xml:space="preserve">s discharges of motor unit, and </w:t>
            </w:r>
            <w:r w:rsidRPr="00BE43EC">
              <w:t xml:space="preserve">cerebrospinal fluid </w:t>
            </w:r>
            <w:proofErr w:type="spellStart"/>
            <w:r w:rsidRPr="00BE43EC">
              <w:t>oligoclonal</w:t>
            </w:r>
            <w:proofErr w:type="spellEnd"/>
            <w:r w:rsidRPr="00BE43EC">
              <w:t xml:space="preserve"> bands.</w:t>
            </w:r>
          </w:p>
        </w:tc>
        <w:tc>
          <w:tcPr>
            <w:tcW w:w="4640" w:type="dxa"/>
            <w:gridSpan w:val="3"/>
          </w:tcPr>
          <w:p w14:paraId="6964373B" w14:textId="77777777" w:rsidR="00977717" w:rsidRDefault="00977717" w:rsidP="00977717">
            <w:r>
              <w:t xml:space="preserve">Patients with stiff person syndrome present with symptoms related to muscular rigidity and superimposed episodic spasms. The rigidity insidiously spreads involving axial muscles, primarily abdominal and thoracolumbar, as well as proximal limb muscles. Typically, co-contraction of </w:t>
            </w:r>
            <w:proofErr w:type="spellStart"/>
            <w:r>
              <w:t>truncal</w:t>
            </w:r>
            <w:proofErr w:type="spellEnd"/>
            <w:r>
              <w:t xml:space="preserve"> agonist and antagonistic muscles leads to a board-like appearance with </w:t>
            </w:r>
            <w:proofErr w:type="spellStart"/>
            <w:r>
              <w:t>hyperlordosis</w:t>
            </w:r>
            <w:proofErr w:type="spellEnd"/>
            <w:r>
              <w:t>. Less frequently, respiratory muscle involvement leads to breathing difficulty and facial muscle involvement to a mask-like face.</w:t>
            </w:r>
          </w:p>
          <w:p w14:paraId="44A7BA95" w14:textId="77777777" w:rsidR="00977717" w:rsidRDefault="00977717" w:rsidP="00977717"/>
          <w:p w14:paraId="5E7AF0D6" w14:textId="71ADD266" w:rsidR="00977717" w:rsidRPr="006747C4" w:rsidRDefault="00977717" w:rsidP="00110EC2">
            <w:pPr>
              <w:spacing w:before="120" w:after="120"/>
            </w:pPr>
            <w:r>
              <w:t xml:space="preserve">Investigations that may be useful for diagnosis include auto-antibodies to GAD-65 or GAD-67, electromyography recordings from stiff muscles that may show continuous discharges of motor unit, and cerebrospinal fluid </w:t>
            </w:r>
            <w:proofErr w:type="spellStart"/>
            <w:r>
              <w:t>oligoclonal</w:t>
            </w:r>
            <w:proofErr w:type="spellEnd"/>
            <w:r>
              <w:t xml:space="preserve"> bands.</w:t>
            </w:r>
          </w:p>
        </w:tc>
        <w:tc>
          <w:tcPr>
            <w:tcW w:w="4149" w:type="dxa"/>
          </w:tcPr>
          <w:p w14:paraId="2895531D" w14:textId="77777777" w:rsidR="00977717" w:rsidRPr="006747C4" w:rsidRDefault="00977717" w:rsidP="00110EC2">
            <w:pPr>
              <w:spacing w:before="120" w:after="120"/>
            </w:pPr>
          </w:p>
        </w:tc>
      </w:tr>
      <w:tr w:rsidR="00977717" w14:paraId="545986AC" w14:textId="77777777" w:rsidTr="00110EC2">
        <w:tc>
          <w:tcPr>
            <w:tcW w:w="1701" w:type="dxa"/>
            <w:shd w:val="clear" w:color="auto" w:fill="D9D9D9" w:themeFill="background1" w:themeFillShade="D9"/>
          </w:tcPr>
          <w:p w14:paraId="01E4BC3F" w14:textId="77777777" w:rsidR="00977717" w:rsidRPr="001849B2" w:rsidRDefault="00977717" w:rsidP="00110EC2">
            <w:pPr>
              <w:spacing w:before="120" w:after="120"/>
              <w:rPr>
                <w:b/>
                <w:sz w:val="18"/>
                <w:szCs w:val="18"/>
              </w:rPr>
            </w:pPr>
            <w:r w:rsidRPr="001849B2">
              <w:rPr>
                <w:b/>
                <w:sz w:val="18"/>
                <w:szCs w:val="18"/>
              </w:rPr>
              <w:t>Diagnosis is required</w:t>
            </w:r>
          </w:p>
        </w:tc>
        <w:tc>
          <w:tcPr>
            <w:tcW w:w="4539" w:type="dxa"/>
          </w:tcPr>
          <w:p w14:paraId="3F16741C" w14:textId="498956D5" w:rsidR="00977717" w:rsidRPr="009D714F" w:rsidRDefault="00977717" w:rsidP="00110EC2">
            <w:pPr>
              <w:spacing w:before="120" w:after="120"/>
            </w:pPr>
          </w:p>
        </w:tc>
        <w:tc>
          <w:tcPr>
            <w:tcW w:w="672" w:type="dxa"/>
          </w:tcPr>
          <w:p w14:paraId="5B712AFE" w14:textId="5148CD53" w:rsidR="00977717" w:rsidRPr="006747C4" w:rsidRDefault="00977717" w:rsidP="00110EC2">
            <w:pPr>
              <w:spacing w:before="120" w:after="120"/>
            </w:pPr>
            <w:r>
              <w:t>No</w:t>
            </w:r>
          </w:p>
        </w:tc>
        <w:tc>
          <w:tcPr>
            <w:tcW w:w="1134" w:type="dxa"/>
            <w:shd w:val="clear" w:color="auto" w:fill="BFBFBF" w:themeFill="background1" w:themeFillShade="BF"/>
          </w:tcPr>
          <w:p w14:paraId="1F8B346F" w14:textId="77777777" w:rsidR="00977717" w:rsidRPr="006747C4" w:rsidRDefault="00977717" w:rsidP="00110EC2">
            <w:pPr>
              <w:spacing w:before="120" w:after="120"/>
            </w:pPr>
            <w:r w:rsidRPr="006A4A3F">
              <w:rPr>
                <w:b/>
                <w:sz w:val="18"/>
                <w:szCs w:val="18"/>
              </w:rPr>
              <w:t>By which speciality</w:t>
            </w:r>
          </w:p>
        </w:tc>
        <w:tc>
          <w:tcPr>
            <w:tcW w:w="2834" w:type="dxa"/>
          </w:tcPr>
          <w:p w14:paraId="3A6737DA" w14:textId="346D7EF4" w:rsidR="00977717" w:rsidRPr="006747C4" w:rsidRDefault="00977717" w:rsidP="00110EC2">
            <w:pPr>
              <w:spacing w:before="120" w:after="120"/>
              <w:jc w:val="center"/>
            </w:pPr>
          </w:p>
        </w:tc>
        <w:tc>
          <w:tcPr>
            <w:tcW w:w="4149" w:type="dxa"/>
            <w:vMerge w:val="restart"/>
          </w:tcPr>
          <w:p w14:paraId="24D68282" w14:textId="77777777" w:rsidR="00977717" w:rsidRPr="006747C4" w:rsidRDefault="00977717" w:rsidP="00110EC2">
            <w:pPr>
              <w:spacing w:before="120" w:after="120"/>
            </w:pPr>
            <w:r>
              <w:t xml:space="preserve">Unchanged. </w:t>
            </w:r>
          </w:p>
        </w:tc>
      </w:tr>
      <w:tr w:rsidR="00977717" w14:paraId="11847DD9" w14:textId="77777777" w:rsidTr="00110EC2">
        <w:tc>
          <w:tcPr>
            <w:tcW w:w="1701" w:type="dxa"/>
            <w:shd w:val="clear" w:color="auto" w:fill="D9D9D9" w:themeFill="background1" w:themeFillShade="D9"/>
          </w:tcPr>
          <w:p w14:paraId="09905F56" w14:textId="77777777" w:rsidR="00977717" w:rsidRPr="00644285" w:rsidRDefault="00977717" w:rsidP="00110EC2">
            <w:pPr>
              <w:spacing w:before="120" w:after="120"/>
              <w:rPr>
                <w:b/>
                <w:sz w:val="18"/>
                <w:szCs w:val="18"/>
              </w:rPr>
            </w:pPr>
            <w:r w:rsidRPr="00644285">
              <w:rPr>
                <w:b/>
                <w:sz w:val="18"/>
                <w:szCs w:val="18"/>
              </w:rPr>
              <w:t>Diagnosis must be verified</w:t>
            </w:r>
          </w:p>
        </w:tc>
        <w:tc>
          <w:tcPr>
            <w:tcW w:w="4539" w:type="dxa"/>
          </w:tcPr>
          <w:p w14:paraId="02A61A79" w14:textId="77777777" w:rsidR="00977717" w:rsidRPr="009D714F" w:rsidRDefault="00977717" w:rsidP="00110EC2">
            <w:pPr>
              <w:spacing w:before="120" w:after="120"/>
            </w:pPr>
          </w:p>
        </w:tc>
        <w:tc>
          <w:tcPr>
            <w:tcW w:w="672" w:type="dxa"/>
          </w:tcPr>
          <w:p w14:paraId="39523839" w14:textId="77777777" w:rsidR="00977717" w:rsidRPr="006747C4" w:rsidRDefault="00977717" w:rsidP="00110EC2">
            <w:pPr>
              <w:spacing w:before="120" w:after="120"/>
            </w:pPr>
            <w:r>
              <w:t>No</w:t>
            </w:r>
          </w:p>
        </w:tc>
        <w:tc>
          <w:tcPr>
            <w:tcW w:w="1134" w:type="dxa"/>
            <w:shd w:val="clear" w:color="auto" w:fill="BFBFBF" w:themeFill="background1" w:themeFillShade="BF"/>
          </w:tcPr>
          <w:p w14:paraId="2243B941" w14:textId="77777777" w:rsidR="00977717" w:rsidRPr="006747C4" w:rsidRDefault="00977717" w:rsidP="00110EC2">
            <w:pPr>
              <w:spacing w:before="120" w:after="120"/>
            </w:pPr>
            <w:r w:rsidRPr="006A4A3F">
              <w:rPr>
                <w:b/>
                <w:sz w:val="18"/>
                <w:szCs w:val="18"/>
              </w:rPr>
              <w:t>By which speciality</w:t>
            </w:r>
          </w:p>
        </w:tc>
        <w:tc>
          <w:tcPr>
            <w:tcW w:w="2834" w:type="dxa"/>
          </w:tcPr>
          <w:p w14:paraId="1B26B53A" w14:textId="77777777" w:rsidR="00977717" w:rsidRPr="006747C4" w:rsidRDefault="00977717" w:rsidP="00110EC2">
            <w:pPr>
              <w:spacing w:before="120" w:after="120"/>
            </w:pPr>
          </w:p>
        </w:tc>
        <w:tc>
          <w:tcPr>
            <w:tcW w:w="4149" w:type="dxa"/>
            <w:vMerge/>
          </w:tcPr>
          <w:p w14:paraId="370337E8" w14:textId="77777777" w:rsidR="00977717" w:rsidRPr="006747C4" w:rsidRDefault="00977717" w:rsidP="00110EC2">
            <w:pPr>
              <w:spacing w:before="120" w:after="120"/>
            </w:pPr>
          </w:p>
        </w:tc>
      </w:tr>
      <w:tr w:rsidR="00977717" w14:paraId="08E12E2B" w14:textId="77777777" w:rsidTr="00110EC2">
        <w:tc>
          <w:tcPr>
            <w:tcW w:w="1701" w:type="dxa"/>
            <w:shd w:val="clear" w:color="auto" w:fill="D9D9D9" w:themeFill="background1" w:themeFillShade="D9"/>
          </w:tcPr>
          <w:p w14:paraId="22DCBB03" w14:textId="77777777" w:rsidR="00977717" w:rsidRPr="001849B2" w:rsidRDefault="00977717" w:rsidP="00110EC2">
            <w:pPr>
              <w:spacing w:before="120" w:after="120"/>
              <w:rPr>
                <w:b/>
                <w:sz w:val="18"/>
                <w:szCs w:val="18"/>
              </w:rPr>
            </w:pPr>
            <w:r w:rsidRPr="001849B2">
              <w:rPr>
                <w:b/>
                <w:sz w:val="18"/>
                <w:szCs w:val="18"/>
              </w:rPr>
              <w:t>Exclusion Criteria</w:t>
            </w:r>
          </w:p>
          <w:p w14:paraId="08FF1904" w14:textId="77777777" w:rsidR="00977717" w:rsidRDefault="00977717" w:rsidP="00110EC2">
            <w:pPr>
              <w:spacing w:before="120" w:after="120"/>
            </w:pPr>
          </w:p>
        </w:tc>
        <w:tc>
          <w:tcPr>
            <w:tcW w:w="4539" w:type="dxa"/>
          </w:tcPr>
          <w:p w14:paraId="3D6F6766" w14:textId="34D4F907" w:rsidR="00977717" w:rsidRDefault="00977717" w:rsidP="00110EC2">
            <w:pPr>
              <w:spacing w:before="120" w:after="120"/>
            </w:pPr>
          </w:p>
        </w:tc>
        <w:tc>
          <w:tcPr>
            <w:tcW w:w="4640" w:type="dxa"/>
            <w:gridSpan w:val="3"/>
          </w:tcPr>
          <w:p w14:paraId="763B58C2" w14:textId="77777777" w:rsidR="00977717" w:rsidRPr="006747C4" w:rsidRDefault="00977717" w:rsidP="00110EC2">
            <w:pPr>
              <w:spacing w:before="120" w:after="120"/>
            </w:pPr>
          </w:p>
        </w:tc>
        <w:tc>
          <w:tcPr>
            <w:tcW w:w="4149" w:type="dxa"/>
          </w:tcPr>
          <w:p w14:paraId="014D2DC2" w14:textId="77777777" w:rsidR="00977717" w:rsidRPr="006747C4" w:rsidRDefault="00977717" w:rsidP="00110EC2">
            <w:pPr>
              <w:spacing w:before="120" w:after="120"/>
            </w:pPr>
          </w:p>
        </w:tc>
      </w:tr>
      <w:tr w:rsidR="00977717" w14:paraId="6014B095" w14:textId="77777777" w:rsidTr="00110EC2">
        <w:tc>
          <w:tcPr>
            <w:tcW w:w="1701" w:type="dxa"/>
            <w:shd w:val="clear" w:color="auto" w:fill="D9D9D9" w:themeFill="background1" w:themeFillShade="D9"/>
          </w:tcPr>
          <w:p w14:paraId="41B4CE10" w14:textId="77777777" w:rsidR="00977717" w:rsidRPr="001024B4" w:rsidRDefault="00977717" w:rsidP="00110EC2">
            <w:pPr>
              <w:spacing w:before="120" w:after="120"/>
              <w:rPr>
                <w:b/>
                <w:sz w:val="18"/>
                <w:szCs w:val="18"/>
              </w:rPr>
            </w:pPr>
            <w:r>
              <w:rPr>
                <w:b/>
                <w:sz w:val="18"/>
                <w:szCs w:val="18"/>
              </w:rPr>
              <w:t>Indications</w:t>
            </w:r>
          </w:p>
        </w:tc>
        <w:tc>
          <w:tcPr>
            <w:tcW w:w="4539" w:type="dxa"/>
          </w:tcPr>
          <w:p w14:paraId="48FB8857" w14:textId="7D279349" w:rsidR="00977717" w:rsidRDefault="00977717" w:rsidP="00110EC2">
            <w:pPr>
              <w:spacing w:before="120" w:after="120"/>
            </w:pPr>
            <w:r>
              <w:t>Treatment of significant functional impairment in patients who have a verified diagnosis of stiff person syndrome.</w:t>
            </w:r>
          </w:p>
        </w:tc>
        <w:tc>
          <w:tcPr>
            <w:tcW w:w="4640" w:type="dxa"/>
            <w:gridSpan w:val="3"/>
          </w:tcPr>
          <w:p w14:paraId="4CFD494B" w14:textId="724A637C" w:rsidR="00977717" w:rsidRPr="000E7AF0" w:rsidRDefault="00977717" w:rsidP="00110EC2">
            <w:pPr>
              <w:spacing w:before="120" w:after="120"/>
              <w:rPr>
                <w:strike/>
              </w:rPr>
            </w:pPr>
            <w:r w:rsidRPr="004D2C1E">
              <w:t>Stiff Person Syndrome or variants with significant disability</w:t>
            </w:r>
          </w:p>
        </w:tc>
        <w:tc>
          <w:tcPr>
            <w:tcW w:w="4149" w:type="dxa"/>
          </w:tcPr>
          <w:p w14:paraId="3DD398EF" w14:textId="77777777" w:rsidR="00977717" w:rsidRPr="00FA2A32" w:rsidRDefault="00977717" w:rsidP="00977717">
            <w:pPr>
              <w:rPr>
                <w:b/>
              </w:rPr>
            </w:pPr>
            <w:r w:rsidRPr="00FA2A32">
              <w:rPr>
                <w:b/>
              </w:rPr>
              <w:t>Change</w:t>
            </w:r>
          </w:p>
          <w:p w14:paraId="799EDD6A" w14:textId="77777777" w:rsidR="00977717" w:rsidRDefault="00977717" w:rsidP="00977717">
            <w:r>
              <w:t xml:space="preserve">Revise </w:t>
            </w:r>
            <w:r w:rsidRPr="004D2C1E">
              <w:t>‘impairment’ to ‘disability’ and to include variants.</w:t>
            </w:r>
          </w:p>
          <w:p w14:paraId="5EA12E7B" w14:textId="77777777" w:rsidR="00977717" w:rsidRDefault="00977717" w:rsidP="00977717">
            <w:pPr>
              <w:rPr>
                <w:b/>
              </w:rPr>
            </w:pPr>
          </w:p>
          <w:p w14:paraId="68811200" w14:textId="77777777" w:rsidR="00977717" w:rsidRDefault="00977717" w:rsidP="00977717">
            <w:pPr>
              <w:rPr>
                <w:b/>
              </w:rPr>
            </w:pPr>
            <w:r w:rsidRPr="00FA2A32">
              <w:rPr>
                <w:b/>
              </w:rPr>
              <w:t>Rationale</w:t>
            </w:r>
          </w:p>
          <w:p w14:paraId="6EF24A2E" w14:textId="3A9C8ABA" w:rsidR="00977717" w:rsidRPr="000E7AF0" w:rsidRDefault="00977717" w:rsidP="00977717">
            <w:pPr>
              <w:spacing w:before="120" w:after="120"/>
            </w:pPr>
            <w:r w:rsidRPr="00FA2A32">
              <w:t xml:space="preserve">Reworded for consistency with other indications - modifying language to ‘disability’ and appropriately indicating that </w:t>
            </w:r>
            <w:r w:rsidRPr="00FA2A32">
              <w:lastRenderedPageBreak/>
              <w:t>variants are eligible for treatment</w:t>
            </w:r>
          </w:p>
        </w:tc>
      </w:tr>
      <w:tr w:rsidR="00977717" w14:paraId="42E40CC9" w14:textId="77777777" w:rsidTr="00110EC2">
        <w:tc>
          <w:tcPr>
            <w:tcW w:w="1701" w:type="dxa"/>
            <w:shd w:val="clear" w:color="auto" w:fill="D9D9D9" w:themeFill="background1" w:themeFillShade="D9"/>
          </w:tcPr>
          <w:p w14:paraId="14C7374C" w14:textId="77777777" w:rsidR="00977717" w:rsidRPr="001024B4" w:rsidRDefault="00977717" w:rsidP="00110EC2">
            <w:pPr>
              <w:spacing w:before="120" w:after="120"/>
              <w:rPr>
                <w:b/>
                <w:sz w:val="18"/>
                <w:szCs w:val="18"/>
              </w:rPr>
            </w:pPr>
            <w:r>
              <w:rPr>
                <w:b/>
                <w:sz w:val="18"/>
                <w:szCs w:val="18"/>
              </w:rPr>
              <w:lastRenderedPageBreak/>
              <w:t>Qualifying Criteria</w:t>
            </w:r>
          </w:p>
        </w:tc>
        <w:tc>
          <w:tcPr>
            <w:tcW w:w="4539" w:type="dxa"/>
          </w:tcPr>
          <w:p w14:paraId="3BB11D15" w14:textId="29004C77" w:rsidR="00977717" w:rsidRPr="002936DD" w:rsidRDefault="00977717" w:rsidP="00110EC2">
            <w:pPr>
              <w:spacing w:before="120" w:after="120"/>
            </w:pPr>
            <w:r w:rsidRPr="00BE43EC">
              <w:t>Significant functional impairment in patients who have a verified diagnosis of stiff person syndrome made by a neurologist.</w:t>
            </w:r>
          </w:p>
        </w:tc>
        <w:tc>
          <w:tcPr>
            <w:tcW w:w="4640" w:type="dxa"/>
            <w:gridSpan w:val="3"/>
          </w:tcPr>
          <w:p w14:paraId="0B824A40" w14:textId="77777777" w:rsidR="00977717" w:rsidRPr="00FA2A32" w:rsidRDefault="00977717" w:rsidP="00977717">
            <w:pPr>
              <w:spacing w:before="100" w:beforeAutospacing="1"/>
              <w:rPr>
                <w:b/>
              </w:rPr>
            </w:pPr>
            <w:r w:rsidRPr="00FA2A32">
              <w:rPr>
                <w:b/>
              </w:rPr>
              <w:t>Stiff Person Syndrome or variants with significant disability</w:t>
            </w:r>
          </w:p>
          <w:p w14:paraId="206724A3" w14:textId="77777777" w:rsidR="00977717" w:rsidRPr="00D67DCD" w:rsidRDefault="00977717" w:rsidP="00977717">
            <w:pPr>
              <w:spacing w:before="100" w:beforeAutospacing="1"/>
            </w:pPr>
            <w:r>
              <w:t>Neurologist c</w:t>
            </w:r>
            <w:r w:rsidRPr="00D67DCD">
              <w:t>onfirmed diagnosis of Stiff Person Syndrome or its variants with significant disability as measured by</w:t>
            </w:r>
            <w:r>
              <w:t xml:space="preserve"> the Modified Rankin Functional ADL Score of at least 4 points and the </w:t>
            </w:r>
            <w:r w:rsidRPr="00D67DCD">
              <w:t>Distribution of stiffness index</w:t>
            </w:r>
            <w:r>
              <w:t xml:space="preserve"> of at least 1 point. </w:t>
            </w:r>
          </w:p>
          <w:p w14:paraId="09F975E6" w14:textId="77777777" w:rsidR="00977717" w:rsidRPr="006747C4" w:rsidRDefault="00977717" w:rsidP="00110EC2">
            <w:pPr>
              <w:spacing w:before="120" w:after="120"/>
            </w:pPr>
          </w:p>
        </w:tc>
        <w:tc>
          <w:tcPr>
            <w:tcW w:w="4149" w:type="dxa"/>
          </w:tcPr>
          <w:p w14:paraId="2FF53B36" w14:textId="77777777" w:rsidR="00977717" w:rsidRDefault="00977717" w:rsidP="00977717">
            <w:r>
              <w:t xml:space="preserve">The </w:t>
            </w:r>
            <w:proofErr w:type="spellStart"/>
            <w:r>
              <w:t>Ig</w:t>
            </w:r>
            <w:proofErr w:type="spellEnd"/>
            <w:r>
              <w:t xml:space="preserve"> governance program requires formal eligibility criteria with supporting evidence to be defined for each condition.</w:t>
            </w:r>
          </w:p>
          <w:p w14:paraId="6DED50B8" w14:textId="77777777" w:rsidR="00977717" w:rsidRDefault="00977717" w:rsidP="00977717"/>
          <w:p w14:paraId="443E9556" w14:textId="77777777" w:rsidR="00977717" w:rsidRDefault="00977717" w:rsidP="00977717">
            <w:r>
              <w:t xml:space="preserve">Eligibility is to be confirmed by Modified Rankin and Distribution of Stiffness Index because these methods have been demonstrated as effective through Randomised Controlled Trials. </w:t>
            </w:r>
          </w:p>
          <w:p w14:paraId="2FF3CCB3" w14:textId="77777777" w:rsidR="00977717" w:rsidRDefault="00977717" w:rsidP="00977717">
            <w:r>
              <w:t xml:space="preserve">References: </w:t>
            </w:r>
          </w:p>
          <w:p w14:paraId="3700BB4E" w14:textId="77777777" w:rsidR="00977717" w:rsidRDefault="00977717" w:rsidP="00977717">
            <w:r>
              <w:t>Rankin J. “Cerebral vascular accidents in patients over the age of 60.”</w:t>
            </w:r>
          </w:p>
          <w:p w14:paraId="321E75BB" w14:textId="77777777" w:rsidR="00977717" w:rsidRDefault="00977717" w:rsidP="00977717">
            <w:r>
              <w:t>Scott Med J  1957;2:200-15</w:t>
            </w:r>
          </w:p>
          <w:p w14:paraId="55974AF8" w14:textId="77777777" w:rsidR="00977717" w:rsidRDefault="00977717" w:rsidP="00977717">
            <w:r>
              <w:t xml:space="preserve">Bonita R, </w:t>
            </w:r>
            <w:proofErr w:type="spellStart"/>
            <w:r>
              <w:t>Beaglehole</w:t>
            </w:r>
            <w:proofErr w:type="spellEnd"/>
            <w:r>
              <w:t xml:space="preserve"> R. “Modification of Rankin Scale: Recovery of motor function after stroke.”</w:t>
            </w:r>
          </w:p>
          <w:p w14:paraId="2823E33D" w14:textId="77777777" w:rsidR="00977717" w:rsidRDefault="00977717" w:rsidP="00977717">
            <w:r>
              <w:t>Stroke 1988 Dec;19(12):1497-1500</w:t>
            </w:r>
          </w:p>
          <w:p w14:paraId="03D15828" w14:textId="77777777" w:rsidR="00977717" w:rsidRDefault="00977717" w:rsidP="00977717">
            <w:r>
              <w:t xml:space="preserve"> Van </w:t>
            </w:r>
            <w:proofErr w:type="spellStart"/>
            <w:r>
              <w:t>Swieten</w:t>
            </w:r>
            <w:proofErr w:type="spellEnd"/>
            <w:r>
              <w:t xml:space="preserve"> JC, </w:t>
            </w:r>
            <w:proofErr w:type="spellStart"/>
            <w:r>
              <w:t>Koudstaal</w:t>
            </w:r>
            <w:proofErr w:type="spellEnd"/>
            <w:r>
              <w:t xml:space="preserve"> PJ, </w:t>
            </w:r>
            <w:proofErr w:type="spellStart"/>
            <w:r>
              <w:t>Visser</w:t>
            </w:r>
            <w:proofErr w:type="spellEnd"/>
            <w:r>
              <w:t xml:space="preserve"> MC, Schouten HJ, van </w:t>
            </w:r>
            <w:proofErr w:type="spellStart"/>
            <w:r>
              <w:t>Gijn</w:t>
            </w:r>
            <w:proofErr w:type="spellEnd"/>
            <w:r>
              <w:t xml:space="preserve"> J. “</w:t>
            </w:r>
            <w:proofErr w:type="spellStart"/>
            <w:r>
              <w:t>Interobserver</w:t>
            </w:r>
            <w:proofErr w:type="spellEnd"/>
            <w:r>
              <w:t xml:space="preserve"> agreement for the assessment of handicap in stroke patients.</w:t>
            </w:r>
          </w:p>
          <w:p w14:paraId="4A809BC1" w14:textId="112FA477" w:rsidR="00977717" w:rsidRPr="006747C4" w:rsidRDefault="00977717" w:rsidP="00110EC2">
            <w:pPr>
              <w:spacing w:before="120" w:after="120"/>
            </w:pPr>
            <w:r>
              <w:t>Original version of Modified Rankin has been shortened to display more easily in the list of values.</w:t>
            </w:r>
          </w:p>
        </w:tc>
      </w:tr>
      <w:tr w:rsidR="00977717" w14:paraId="2105675D" w14:textId="77777777" w:rsidTr="00110EC2">
        <w:tc>
          <w:tcPr>
            <w:tcW w:w="1701" w:type="dxa"/>
            <w:shd w:val="clear" w:color="auto" w:fill="D9D9D9" w:themeFill="background1" w:themeFillShade="D9"/>
          </w:tcPr>
          <w:p w14:paraId="41CB5469" w14:textId="77777777" w:rsidR="00977717" w:rsidRPr="001024B4" w:rsidRDefault="00977717" w:rsidP="00110EC2">
            <w:pPr>
              <w:spacing w:before="120" w:after="120"/>
              <w:rPr>
                <w:b/>
                <w:sz w:val="18"/>
                <w:szCs w:val="18"/>
              </w:rPr>
            </w:pPr>
            <w:r>
              <w:rPr>
                <w:b/>
                <w:sz w:val="18"/>
                <w:szCs w:val="18"/>
              </w:rPr>
              <w:t>Review Criteria</w:t>
            </w:r>
          </w:p>
        </w:tc>
        <w:tc>
          <w:tcPr>
            <w:tcW w:w="4539" w:type="dxa"/>
          </w:tcPr>
          <w:p w14:paraId="3026A32D" w14:textId="77777777" w:rsidR="00977717" w:rsidRPr="00BE43EC" w:rsidRDefault="00977717" w:rsidP="00977717">
            <w:pPr>
              <w:rPr>
                <w:b/>
              </w:rPr>
            </w:pPr>
            <w:r w:rsidRPr="00BE43EC">
              <w:rPr>
                <w:b/>
              </w:rPr>
              <w:t>Review</w:t>
            </w:r>
          </w:p>
          <w:p w14:paraId="554EB436" w14:textId="77777777" w:rsidR="00977717" w:rsidRPr="00BE43EC" w:rsidRDefault="00977717" w:rsidP="00977717">
            <w:r w:rsidRPr="00BE43EC">
              <w:t>Regular review by a neurologist is required; frequency as determined by clinical status of patient.</w:t>
            </w:r>
          </w:p>
          <w:p w14:paraId="476464AB" w14:textId="77777777" w:rsidR="00977717" w:rsidRPr="00BE43EC" w:rsidRDefault="00977717" w:rsidP="00977717">
            <w:r w:rsidRPr="00BE43EC">
              <w:t>For stable patients on maintenance treatment, review by a neurologist is required at least annually.</w:t>
            </w:r>
          </w:p>
          <w:p w14:paraId="7176C0EB" w14:textId="77777777" w:rsidR="00977717" w:rsidRDefault="00977717" w:rsidP="00977717">
            <w:pPr>
              <w:rPr>
                <w:b/>
              </w:rPr>
            </w:pPr>
          </w:p>
          <w:p w14:paraId="73D3FE8A" w14:textId="77777777" w:rsidR="00977717" w:rsidRPr="00BE43EC" w:rsidRDefault="00977717" w:rsidP="00977717">
            <w:pPr>
              <w:rPr>
                <w:b/>
              </w:rPr>
            </w:pPr>
            <w:r w:rsidRPr="00BE43EC">
              <w:rPr>
                <w:b/>
              </w:rPr>
              <w:t>Effectiveness</w:t>
            </w:r>
          </w:p>
          <w:p w14:paraId="26D8E80C" w14:textId="77777777" w:rsidR="00977717" w:rsidRPr="00BE43EC" w:rsidRDefault="00977717" w:rsidP="00977717">
            <w:r w:rsidRPr="00BE43EC">
              <w:t>Objective indicators of relief of symptoms of</w:t>
            </w:r>
          </w:p>
          <w:p w14:paraId="6A4AEE32" w14:textId="77777777" w:rsidR="00977717" w:rsidRPr="00BE43EC" w:rsidRDefault="00977717" w:rsidP="00977717">
            <w:r w:rsidRPr="00BE43EC">
              <w:t>stiffness, including:</w:t>
            </w:r>
          </w:p>
          <w:p w14:paraId="57A0EC33" w14:textId="77777777" w:rsidR="00977717" w:rsidRPr="00BE43EC" w:rsidRDefault="00977717" w:rsidP="00977717">
            <w:r>
              <w:t>•</w:t>
            </w:r>
            <w:r w:rsidRPr="00BE43EC">
              <w:t xml:space="preserve">improvement or stabilisation of activities of </w:t>
            </w:r>
            <w:r w:rsidRPr="00BE43EC">
              <w:lastRenderedPageBreak/>
              <w:t>daily living scores;</w:t>
            </w:r>
          </w:p>
          <w:p w14:paraId="35215A70" w14:textId="539239EA" w:rsidR="00977717" w:rsidRDefault="00977717" w:rsidP="00110EC2">
            <w:pPr>
              <w:spacing w:before="120" w:after="120"/>
            </w:pPr>
            <w:r>
              <w:t>•</w:t>
            </w:r>
            <w:r w:rsidRPr="00BE43EC">
              <w:t>other specialised scoring systems, such as distribution-of-stiffness index and heightened sensitivity scale.</w:t>
            </w:r>
          </w:p>
        </w:tc>
        <w:tc>
          <w:tcPr>
            <w:tcW w:w="4640" w:type="dxa"/>
            <w:gridSpan w:val="3"/>
          </w:tcPr>
          <w:p w14:paraId="2BC4BA99" w14:textId="77777777" w:rsidR="00977717" w:rsidRDefault="00977717" w:rsidP="00977717">
            <w:pPr>
              <w:rPr>
                <w:b/>
              </w:rPr>
            </w:pPr>
            <w:r w:rsidRPr="004D2C1E">
              <w:rPr>
                <w:b/>
              </w:rPr>
              <w:lastRenderedPageBreak/>
              <w:t>Stiff Person Syndrome or variants with significant disability</w:t>
            </w:r>
          </w:p>
          <w:p w14:paraId="35374B56" w14:textId="77777777" w:rsidR="00977717" w:rsidRDefault="00977717" w:rsidP="00977717">
            <w:pPr>
              <w:rPr>
                <w:b/>
              </w:rPr>
            </w:pPr>
          </w:p>
          <w:p w14:paraId="623E1215" w14:textId="77777777" w:rsidR="00977717" w:rsidRPr="00D67DCD" w:rsidRDefault="00977717" w:rsidP="00977717">
            <w:pPr>
              <w:rPr>
                <w:b/>
              </w:rPr>
            </w:pPr>
            <w:r w:rsidRPr="00D67DCD">
              <w:rPr>
                <w:b/>
              </w:rPr>
              <w:t>Review Preamble</w:t>
            </w:r>
          </w:p>
          <w:p w14:paraId="02488EA4" w14:textId="782C2817" w:rsidR="00977717" w:rsidRPr="004D2C1E" w:rsidRDefault="00977717" w:rsidP="00977717">
            <w:r w:rsidRPr="004D2C1E">
              <w:t>Regular review by a neurologist is required</w:t>
            </w:r>
            <w:r>
              <w:t xml:space="preserve"> within 6 of the initial review and at least annually thereafter.</w:t>
            </w:r>
          </w:p>
          <w:p w14:paraId="3494E958" w14:textId="77777777" w:rsidR="00977717" w:rsidRPr="004D2C1E" w:rsidRDefault="00977717" w:rsidP="00977717"/>
          <w:p w14:paraId="4FC89E8D" w14:textId="77777777" w:rsidR="00977717" w:rsidRPr="004D2C1E" w:rsidRDefault="00977717" w:rsidP="00977717"/>
          <w:p w14:paraId="5E775FF0" w14:textId="77777777" w:rsidR="00977717" w:rsidRPr="0016785B" w:rsidRDefault="00977717" w:rsidP="00977717">
            <w:pPr>
              <w:rPr>
                <w:b/>
              </w:rPr>
            </w:pPr>
            <w:r w:rsidRPr="0016785B">
              <w:rPr>
                <w:b/>
              </w:rPr>
              <w:t>On review of the Initial Authorisation Period</w:t>
            </w:r>
          </w:p>
          <w:p w14:paraId="24A8566D" w14:textId="77777777" w:rsidR="00977717" w:rsidRPr="004D2C1E" w:rsidRDefault="00977717" w:rsidP="00977717"/>
          <w:p w14:paraId="69085E13" w14:textId="77777777" w:rsidR="00977717" w:rsidRPr="004D2C1E" w:rsidRDefault="00977717" w:rsidP="00977717">
            <w:r>
              <w:t>Patient demonstrates r</w:t>
            </w:r>
            <w:r w:rsidRPr="004D2C1E">
              <w:t xml:space="preserve">elief of symptoms of </w:t>
            </w:r>
            <w:r w:rsidRPr="004D2C1E">
              <w:lastRenderedPageBreak/>
              <w:t>stiffness and</w:t>
            </w:r>
            <w:r>
              <w:t xml:space="preserve"> disability as demonstrated by a </w:t>
            </w:r>
            <w:r w:rsidRPr="004D2C1E">
              <w:t xml:space="preserve">Functional </w:t>
            </w:r>
            <w:r>
              <w:t xml:space="preserve">Assessment </w:t>
            </w:r>
            <w:r w:rsidRPr="004D2C1E">
              <w:t xml:space="preserve">ADL </w:t>
            </w:r>
            <w:r>
              <w:t xml:space="preserve">- Modified Rankin Score and a Distribution of Stiffness Index which are greater than the qualifying scores. </w:t>
            </w:r>
          </w:p>
          <w:p w14:paraId="010DEDE0" w14:textId="77777777" w:rsidR="00977717" w:rsidRPr="004D2C1E" w:rsidRDefault="00977717" w:rsidP="00977717"/>
          <w:p w14:paraId="0E6B5E3B" w14:textId="77777777" w:rsidR="00977717" w:rsidRPr="004D2C1E" w:rsidRDefault="00977717" w:rsidP="00977717"/>
          <w:p w14:paraId="480AA539" w14:textId="77777777" w:rsidR="00977717" w:rsidRPr="0016785B" w:rsidRDefault="00977717" w:rsidP="00977717">
            <w:pPr>
              <w:rPr>
                <w:b/>
              </w:rPr>
            </w:pPr>
            <w:r w:rsidRPr="0016785B">
              <w:rPr>
                <w:b/>
              </w:rPr>
              <w:t>On review of a Continuing Authorisation Period</w:t>
            </w:r>
          </w:p>
          <w:p w14:paraId="5B714BFE" w14:textId="77777777" w:rsidR="00977717" w:rsidRPr="004D2C1E" w:rsidRDefault="00977717" w:rsidP="00977717"/>
          <w:p w14:paraId="247D2DFC" w14:textId="77777777" w:rsidR="00977717" w:rsidRPr="004D2C1E" w:rsidRDefault="00977717" w:rsidP="00977717">
            <w:r>
              <w:t>Patient demonstrates s</w:t>
            </w:r>
            <w:r w:rsidRPr="004D2C1E">
              <w:t>table symptoms of stiffness demonstrated by</w:t>
            </w:r>
            <w:r>
              <w:t xml:space="preserve"> a </w:t>
            </w:r>
            <w:r w:rsidRPr="004D2C1E">
              <w:t xml:space="preserve">Functional </w:t>
            </w:r>
            <w:r>
              <w:t xml:space="preserve">ADL Score – Modified Rankin which is greater than or equal to the scores at the last review and greater than the qualifying scores. </w:t>
            </w:r>
          </w:p>
          <w:p w14:paraId="7159E6CC" w14:textId="77777777" w:rsidR="00977717" w:rsidRPr="004D2C1E" w:rsidRDefault="00977717" w:rsidP="00977717"/>
          <w:p w14:paraId="20F8208A" w14:textId="77777777" w:rsidR="00977717" w:rsidRPr="000302B5" w:rsidRDefault="00977717" w:rsidP="00977717">
            <w:pPr>
              <w:rPr>
                <w:b/>
              </w:rPr>
            </w:pPr>
            <w:r w:rsidRPr="000302B5">
              <w:rPr>
                <w:b/>
              </w:rPr>
              <w:t>Review Postscript</w:t>
            </w:r>
          </w:p>
          <w:p w14:paraId="6A050E7E" w14:textId="77777777" w:rsidR="00977717" w:rsidRPr="004D2C1E" w:rsidRDefault="00977717" w:rsidP="00977717">
            <w:r w:rsidRPr="004D2C1E">
              <w:t>For stable patients on maintenance treatment, review by a neurologist is required at least annually</w:t>
            </w:r>
            <w:r>
              <w:t>.</w:t>
            </w:r>
          </w:p>
          <w:p w14:paraId="41AD1302" w14:textId="77777777" w:rsidR="00977717" w:rsidRPr="006747C4" w:rsidRDefault="00977717" w:rsidP="00110EC2">
            <w:pPr>
              <w:spacing w:before="120" w:after="120"/>
            </w:pPr>
          </w:p>
        </w:tc>
        <w:tc>
          <w:tcPr>
            <w:tcW w:w="4149" w:type="dxa"/>
          </w:tcPr>
          <w:p w14:paraId="0BD5B820" w14:textId="26A98493" w:rsidR="00977717" w:rsidRPr="006747C4" w:rsidRDefault="00977717" w:rsidP="00110EC2">
            <w:pPr>
              <w:spacing w:before="120" w:after="120"/>
            </w:pPr>
          </w:p>
        </w:tc>
      </w:tr>
      <w:tr w:rsidR="00977717" w14:paraId="004B3A8E" w14:textId="77777777" w:rsidTr="00110EC2">
        <w:tc>
          <w:tcPr>
            <w:tcW w:w="1701" w:type="dxa"/>
            <w:shd w:val="clear" w:color="auto" w:fill="D9D9D9" w:themeFill="background1" w:themeFillShade="D9"/>
          </w:tcPr>
          <w:p w14:paraId="675B160D" w14:textId="77777777" w:rsidR="00977717" w:rsidRPr="001024B4" w:rsidRDefault="00977717" w:rsidP="00110EC2">
            <w:pPr>
              <w:spacing w:before="120" w:after="120"/>
              <w:rPr>
                <w:b/>
                <w:sz w:val="18"/>
                <w:szCs w:val="18"/>
              </w:rPr>
            </w:pPr>
            <w:r>
              <w:rPr>
                <w:b/>
                <w:sz w:val="18"/>
                <w:szCs w:val="18"/>
              </w:rPr>
              <w:lastRenderedPageBreak/>
              <w:t>Dose</w:t>
            </w:r>
          </w:p>
        </w:tc>
        <w:tc>
          <w:tcPr>
            <w:tcW w:w="4539" w:type="dxa"/>
          </w:tcPr>
          <w:p w14:paraId="0022AD1B" w14:textId="77777777" w:rsidR="00977717" w:rsidRPr="00BE43EC" w:rsidRDefault="00977717" w:rsidP="00977717">
            <w:r w:rsidRPr="00BE43EC">
              <w:rPr>
                <w:b/>
              </w:rPr>
              <w:t>Induction</w:t>
            </w:r>
            <w:r w:rsidRPr="00BE43EC">
              <w:t>: 2 g/kg in 2 to 5 divided doses.</w:t>
            </w:r>
          </w:p>
          <w:p w14:paraId="4D579609" w14:textId="77777777" w:rsidR="00977717" w:rsidRDefault="00977717" w:rsidP="00977717">
            <w:pPr>
              <w:rPr>
                <w:b/>
              </w:rPr>
            </w:pPr>
          </w:p>
          <w:p w14:paraId="3423BE13" w14:textId="77777777" w:rsidR="00977717" w:rsidRPr="00BE43EC" w:rsidRDefault="00977717" w:rsidP="00977717">
            <w:r w:rsidRPr="00BE43EC">
              <w:rPr>
                <w:b/>
              </w:rPr>
              <w:t>Maintenance</w:t>
            </w:r>
            <w:r w:rsidRPr="00BE43EC">
              <w:t>: 1–2 g/kg, 4–6 weekly.</w:t>
            </w:r>
          </w:p>
          <w:p w14:paraId="5A3FA8DB" w14:textId="77777777" w:rsidR="00977717" w:rsidRPr="00BE43EC" w:rsidRDefault="00977717" w:rsidP="00977717">
            <w:r w:rsidRPr="00BE43EC">
              <w:t>Aim for the minimum dose to maintain optimal functional status.</w:t>
            </w:r>
          </w:p>
          <w:p w14:paraId="573DBE1C" w14:textId="77777777" w:rsidR="00977717" w:rsidRPr="00BE43EC" w:rsidRDefault="00977717" w:rsidP="00977717">
            <w:pPr>
              <w:rPr>
                <w:b/>
              </w:rPr>
            </w:pPr>
            <w:r w:rsidRPr="00BE43EC">
              <w:rPr>
                <w:b/>
              </w:rPr>
              <w:t xml:space="preserve">Dosing above 1 g/kg per day is contraindicated for some </w:t>
            </w:r>
            <w:proofErr w:type="spellStart"/>
            <w:r w:rsidRPr="00BE43EC">
              <w:rPr>
                <w:b/>
              </w:rPr>
              <w:t>IVIg</w:t>
            </w:r>
            <w:proofErr w:type="spellEnd"/>
            <w:r w:rsidRPr="00BE43EC">
              <w:rPr>
                <w:b/>
              </w:rPr>
              <w:t xml:space="preserve"> products.</w:t>
            </w:r>
          </w:p>
          <w:p w14:paraId="76B32F3B" w14:textId="77777777" w:rsidR="00977717" w:rsidRDefault="00977717" w:rsidP="00977717">
            <w:pPr>
              <w:rPr>
                <w:b/>
              </w:rPr>
            </w:pPr>
          </w:p>
          <w:p w14:paraId="5327DC53" w14:textId="77777777" w:rsidR="00977717" w:rsidRPr="00BE43EC" w:rsidRDefault="00977717" w:rsidP="00977717">
            <w:pPr>
              <w:rPr>
                <w:b/>
              </w:rPr>
            </w:pPr>
            <w:r w:rsidRPr="00BE43EC">
              <w:rPr>
                <w:b/>
              </w:rPr>
              <w:t>Refer to the current product information sheet for further information.</w:t>
            </w:r>
          </w:p>
          <w:p w14:paraId="3B3C3997" w14:textId="77777777" w:rsidR="00977717" w:rsidRDefault="00977717" w:rsidP="00977717">
            <w:pPr>
              <w:rPr>
                <w:b/>
              </w:rPr>
            </w:pPr>
          </w:p>
          <w:p w14:paraId="3A5F9F89" w14:textId="107A1CBE" w:rsidR="00977717" w:rsidRDefault="00977717" w:rsidP="00110EC2">
            <w:pPr>
              <w:spacing w:before="120" w:after="120"/>
            </w:pPr>
            <w:r w:rsidRPr="00BE43EC">
              <w:rPr>
                <w:b/>
              </w:rPr>
              <w:t>The aim should be to use the lowest dose possible that achieves the appropriate clinical outcome for each patient</w:t>
            </w:r>
          </w:p>
        </w:tc>
        <w:tc>
          <w:tcPr>
            <w:tcW w:w="4640" w:type="dxa"/>
            <w:gridSpan w:val="3"/>
          </w:tcPr>
          <w:p w14:paraId="37AD520E" w14:textId="77777777" w:rsidR="00977717" w:rsidRPr="004D2C1E" w:rsidRDefault="00977717" w:rsidP="00977717">
            <w:pPr>
              <w:rPr>
                <w:b/>
              </w:rPr>
            </w:pPr>
            <w:r w:rsidRPr="004D2C1E">
              <w:rPr>
                <w:b/>
              </w:rPr>
              <w:t>Stiff person Syndrome with significant functional impairment</w:t>
            </w:r>
          </w:p>
          <w:p w14:paraId="0F31C34C" w14:textId="77777777" w:rsidR="00977717" w:rsidRDefault="00977717" w:rsidP="00977717"/>
          <w:p w14:paraId="031DF6C8" w14:textId="77777777" w:rsidR="00977717" w:rsidRDefault="00977717" w:rsidP="00977717">
            <w:r w:rsidRPr="004D2C1E">
              <w:rPr>
                <w:b/>
              </w:rPr>
              <w:t>Induction</w:t>
            </w:r>
            <w:r>
              <w:t>: Up to 2 g/kg in 2 to 5 divided doses</w:t>
            </w:r>
          </w:p>
          <w:p w14:paraId="2F9104AA" w14:textId="77777777" w:rsidR="00977717" w:rsidRDefault="00977717" w:rsidP="00977717"/>
          <w:p w14:paraId="1DE1DFF3" w14:textId="0383A32B" w:rsidR="00977717" w:rsidRPr="00163BBD" w:rsidRDefault="00977717" w:rsidP="00977717">
            <w:pPr>
              <w:rPr>
                <w:rFonts w:asciiTheme="minorHAnsi" w:eastAsia="Times New Roman" w:hAnsiTheme="minorHAnsi" w:cs="Times New Roman"/>
                <w:color w:val="000000"/>
              </w:rPr>
            </w:pPr>
            <w:r w:rsidRPr="00163BBD">
              <w:rPr>
                <w:rFonts w:asciiTheme="minorHAnsi" w:eastAsia="Times New Roman" w:hAnsiTheme="minorHAnsi" w:cs="Times New Roman"/>
                <w:b/>
                <w:bCs/>
                <w:color w:val="000000"/>
              </w:rPr>
              <w:t>Maintenance:</w:t>
            </w:r>
            <w:r>
              <w:rPr>
                <w:rFonts w:asciiTheme="minorHAnsi" w:eastAsia="Times New Roman" w:hAnsiTheme="minorHAnsi" w:cs="Times New Roman"/>
                <w:b/>
                <w:bCs/>
                <w:color w:val="000000"/>
              </w:rPr>
              <w:t xml:space="preserve">  </w:t>
            </w:r>
            <w:r w:rsidRPr="00163BBD">
              <w:rPr>
                <w:rFonts w:asciiTheme="minorHAnsi" w:eastAsia="Times New Roman" w:hAnsiTheme="minorHAnsi" w:cstheme="minorHAnsi"/>
                <w:color w:val="000000"/>
              </w:rPr>
              <w:t xml:space="preserve">Up to </w:t>
            </w:r>
            <w:r w:rsidRPr="00163BBD">
              <w:rPr>
                <w:rFonts w:asciiTheme="minorHAnsi" w:eastAsia="Times New Roman" w:hAnsiTheme="minorHAnsi" w:cs="Times New Roman"/>
                <w:color w:val="000000"/>
              </w:rPr>
              <w:t>0.4–1 g/kg, 2–6 weekly.</w:t>
            </w:r>
          </w:p>
          <w:p w14:paraId="7D5925C5" w14:textId="77777777" w:rsidR="00977717" w:rsidRPr="00163BBD" w:rsidRDefault="00977717" w:rsidP="00977717">
            <w:r w:rsidRPr="00163BBD">
              <w:rPr>
                <w:rFonts w:asciiTheme="minorHAnsi" w:eastAsia="Times New Roman" w:hAnsiTheme="minorHAnsi" w:cs="Times New Roman"/>
                <w:color w:val="000000"/>
              </w:rPr>
              <w:t xml:space="preserve">The amount per dose should be titrated to the individual’s response. </w:t>
            </w:r>
            <w:r w:rsidRPr="00163BBD">
              <w:t xml:space="preserve">A maximum dose of 2 g/Kg may be given in any 4 week period. This might be by divided doses more frequently than </w:t>
            </w:r>
            <w:r w:rsidRPr="0016785B">
              <w:t>monthly.</w:t>
            </w:r>
            <w:r w:rsidRPr="00163BBD">
              <w:t xml:space="preserve"> </w:t>
            </w:r>
          </w:p>
          <w:p w14:paraId="24AE1E35" w14:textId="77777777" w:rsidR="00977717" w:rsidRPr="00163BBD" w:rsidRDefault="00977717" w:rsidP="00977717">
            <w:pPr>
              <w:rPr>
                <w:b/>
              </w:rPr>
            </w:pPr>
          </w:p>
          <w:p w14:paraId="46C9A70D" w14:textId="77777777" w:rsidR="00977717" w:rsidRPr="00163BBD" w:rsidRDefault="00977717" w:rsidP="00977717">
            <w:pPr>
              <w:rPr>
                <w:b/>
                <w:color w:val="808080" w:themeColor="background1" w:themeShade="80"/>
              </w:rPr>
            </w:pPr>
            <w:r w:rsidRPr="00163BBD">
              <w:rPr>
                <w:b/>
                <w:color w:val="808080" w:themeColor="background1" w:themeShade="80"/>
              </w:rPr>
              <w:t>[Dose Postscript]</w:t>
            </w:r>
          </w:p>
          <w:p w14:paraId="6D445C4C" w14:textId="77777777" w:rsidR="00977717" w:rsidRPr="00977717" w:rsidRDefault="00977717" w:rsidP="00977717">
            <w:pPr>
              <w:rPr>
                <w:rFonts w:asciiTheme="minorHAnsi" w:eastAsia="Times New Roman" w:hAnsiTheme="minorHAnsi" w:cs="Times New Roman"/>
                <w:bCs/>
                <w:color w:val="000000"/>
              </w:rPr>
            </w:pPr>
            <w:r w:rsidRPr="00977717">
              <w:rPr>
                <w:rFonts w:asciiTheme="minorHAnsi" w:eastAsia="Times New Roman" w:hAnsiTheme="minorHAnsi" w:cs="Times New Roman"/>
                <w:bCs/>
                <w:color w:val="000000"/>
              </w:rPr>
              <w:t>The aim should be to use the lowest dose possible that achieves the appropriate clinical outcome for each patient.</w:t>
            </w:r>
          </w:p>
          <w:p w14:paraId="7295CAA4" w14:textId="77777777" w:rsidR="00977717" w:rsidRPr="00163BBD" w:rsidRDefault="00977717" w:rsidP="00977717">
            <w:pPr>
              <w:rPr>
                <w:rFonts w:asciiTheme="minorHAnsi" w:eastAsia="Times New Roman" w:hAnsiTheme="minorHAnsi" w:cs="Times New Roman"/>
                <w:b/>
                <w:bCs/>
                <w:color w:val="000000"/>
              </w:rPr>
            </w:pPr>
          </w:p>
          <w:p w14:paraId="31FBE35F" w14:textId="77777777" w:rsidR="00977717" w:rsidRPr="00163BBD" w:rsidRDefault="00977717" w:rsidP="00977717">
            <w:pPr>
              <w:spacing w:after="120"/>
              <w:rPr>
                <w:rFonts w:asciiTheme="minorHAnsi" w:eastAsia="Times New Roman" w:hAnsiTheme="minorHAnsi" w:cs="Times New Roman"/>
                <w:b/>
                <w:bCs/>
                <w:color w:val="000000"/>
              </w:rPr>
            </w:pPr>
            <w:r w:rsidRPr="00163BBD">
              <w:rPr>
                <w:rFonts w:asciiTheme="minorHAnsi" w:eastAsia="Times New Roman" w:hAnsiTheme="minorHAnsi" w:cs="Times New Roman"/>
                <w:b/>
                <w:bCs/>
                <w:color w:val="000000"/>
              </w:rPr>
              <w:t xml:space="preserve">Dosing above 1 g/kg per day is contraindicated for some </w:t>
            </w:r>
            <w:proofErr w:type="spellStart"/>
            <w:r w:rsidRPr="00163BBD">
              <w:rPr>
                <w:rFonts w:asciiTheme="minorHAnsi" w:eastAsia="Times New Roman" w:hAnsiTheme="minorHAnsi" w:cs="Times New Roman"/>
                <w:b/>
                <w:bCs/>
                <w:color w:val="000000"/>
              </w:rPr>
              <w:t>IVIg</w:t>
            </w:r>
            <w:proofErr w:type="spellEnd"/>
            <w:r w:rsidRPr="00163BBD">
              <w:rPr>
                <w:rFonts w:asciiTheme="minorHAnsi" w:eastAsia="Times New Roman" w:hAnsiTheme="minorHAnsi" w:cs="Times New Roman"/>
                <w:b/>
                <w:bCs/>
                <w:color w:val="000000"/>
              </w:rPr>
              <w:t xml:space="preserve"> products and in some patients </w:t>
            </w:r>
            <w:proofErr w:type="gramStart"/>
            <w:r w:rsidRPr="00163BBD">
              <w:rPr>
                <w:rFonts w:asciiTheme="minorHAnsi" w:eastAsia="Times New Roman" w:hAnsiTheme="minorHAnsi" w:cs="Times New Roman"/>
                <w:b/>
                <w:bCs/>
                <w:color w:val="000000"/>
              </w:rPr>
              <w:t>(</w:t>
            </w:r>
            <w:r>
              <w:rPr>
                <w:rFonts w:asciiTheme="minorHAnsi" w:eastAsia="Times New Roman" w:hAnsiTheme="minorHAnsi" w:cs="Times New Roman"/>
                <w:b/>
                <w:bCs/>
                <w:color w:val="000000"/>
              </w:rPr>
              <w:t xml:space="preserve"> </w:t>
            </w:r>
            <w:r w:rsidRPr="00163BBD">
              <w:rPr>
                <w:rFonts w:asciiTheme="minorHAnsi" w:eastAsia="Times New Roman" w:hAnsiTheme="minorHAnsi" w:cs="Times New Roman"/>
                <w:b/>
                <w:bCs/>
                <w:color w:val="000000"/>
              </w:rPr>
              <w:lastRenderedPageBreak/>
              <w:t>see</w:t>
            </w:r>
            <w:proofErr w:type="gramEnd"/>
            <w:r w:rsidRPr="00163BBD">
              <w:rPr>
                <w:rFonts w:asciiTheme="minorHAnsi" w:eastAsia="Times New Roman" w:hAnsiTheme="minorHAnsi" w:cs="Times New Roman"/>
                <w:b/>
                <w:bCs/>
                <w:color w:val="000000"/>
              </w:rPr>
              <w:t xml:space="preserve"> product information).</w:t>
            </w:r>
          </w:p>
          <w:p w14:paraId="274E75E6" w14:textId="77777777" w:rsidR="00977717" w:rsidRPr="00163BBD" w:rsidRDefault="00977717" w:rsidP="00977717">
            <w:pPr>
              <w:spacing w:after="120"/>
              <w:rPr>
                <w:rFonts w:asciiTheme="minorHAnsi" w:eastAsia="Times New Roman" w:hAnsiTheme="minorHAnsi" w:cs="Times New Roman"/>
                <w:b/>
                <w:bCs/>
                <w:color w:val="000000"/>
              </w:rPr>
            </w:pPr>
            <w:r w:rsidRPr="00163BBD">
              <w:rPr>
                <w:rFonts w:asciiTheme="minorHAnsi" w:eastAsia="Times New Roman" w:hAnsiTheme="minorHAnsi" w:cs="Times New Roman"/>
                <w:b/>
                <w:bCs/>
                <w:color w:val="000000"/>
              </w:rPr>
              <w:t>Refer to the current product information sheet for further information.</w:t>
            </w:r>
          </w:p>
          <w:p w14:paraId="21A81559" w14:textId="77777777" w:rsidR="00977717" w:rsidRPr="006747C4" w:rsidRDefault="00977717" w:rsidP="00977717"/>
        </w:tc>
        <w:tc>
          <w:tcPr>
            <w:tcW w:w="4149" w:type="dxa"/>
          </w:tcPr>
          <w:p w14:paraId="59071B9C" w14:textId="77777777" w:rsidR="00977717" w:rsidRDefault="00977717" w:rsidP="00977717">
            <w:r>
              <w:lastRenderedPageBreak/>
              <w:t xml:space="preserve">There will be a lower limit defined as 1g for induction dose. </w:t>
            </w:r>
          </w:p>
          <w:p w14:paraId="00BB05C5" w14:textId="77777777" w:rsidR="00977717" w:rsidRDefault="00977717" w:rsidP="00977717"/>
          <w:p w14:paraId="480FAC29" w14:textId="77777777" w:rsidR="00977717" w:rsidRDefault="00977717" w:rsidP="00977717">
            <w:r>
              <w:t xml:space="preserve">Maintenance - </w:t>
            </w:r>
          </w:p>
          <w:p w14:paraId="1C4C7544" w14:textId="77777777" w:rsidR="00977717" w:rsidRDefault="00977717" w:rsidP="00977717">
            <w:r>
              <w:t xml:space="preserve">While maximum dosing is unchanged, prescribers are encouraged to titrate the dose to the individual’s response and supported in giving divided doses more frequently than monthly. </w:t>
            </w:r>
          </w:p>
          <w:p w14:paraId="3C3B7969" w14:textId="77777777" w:rsidR="00977717" w:rsidRDefault="00977717" w:rsidP="00977717"/>
          <w:p w14:paraId="0DC4F968" w14:textId="77777777" w:rsidR="00977717" w:rsidRDefault="00977717" w:rsidP="00977717"/>
          <w:p w14:paraId="4847A9D5" w14:textId="58A0D350" w:rsidR="00977717" w:rsidRPr="006747C4" w:rsidRDefault="00977717" w:rsidP="00110EC2">
            <w:pPr>
              <w:spacing w:before="120" w:after="120"/>
            </w:pPr>
            <w:r>
              <w:t xml:space="preserve">Prompt to remind patients regarding thrombotic risk of </w:t>
            </w:r>
            <w:proofErr w:type="spellStart"/>
            <w:r>
              <w:t>Ig</w:t>
            </w:r>
            <w:proofErr w:type="spellEnd"/>
            <w:r>
              <w:t>.</w:t>
            </w:r>
          </w:p>
        </w:tc>
      </w:tr>
    </w:tbl>
    <w:p w14:paraId="2C9464BD" w14:textId="77777777" w:rsidR="00977717" w:rsidRDefault="00977717">
      <w:r>
        <w:lastRenderedPageBreak/>
        <w:br w:type="page"/>
      </w:r>
    </w:p>
    <w:tbl>
      <w:tblPr>
        <w:tblStyle w:val="TableGrid"/>
        <w:tblpPr w:leftFromText="181" w:rightFromText="181" w:vertAnchor="text" w:horzAnchor="page" w:tblpX="1093" w:tblpY="471"/>
        <w:tblOverlap w:val="never"/>
        <w:tblW w:w="4720" w:type="pct"/>
        <w:tblLook w:val="0680" w:firstRow="0" w:lastRow="0" w:firstColumn="1" w:lastColumn="0" w:noHBand="1" w:noVBand="1"/>
      </w:tblPr>
      <w:tblGrid>
        <w:gridCol w:w="15029"/>
      </w:tblGrid>
      <w:tr w:rsidR="00110EC2" w:rsidRPr="00977717" w14:paraId="308E68B3" w14:textId="77777777" w:rsidTr="00110EC2">
        <w:tc>
          <w:tcPr>
            <w:tcW w:w="15029" w:type="dxa"/>
            <w:shd w:val="clear" w:color="auto" w:fill="DBE5F1" w:themeFill="accent1" w:themeFillTint="33"/>
          </w:tcPr>
          <w:p w14:paraId="251BA4CF" w14:textId="510AF636" w:rsidR="00110EC2" w:rsidRPr="00977717" w:rsidRDefault="00110EC2" w:rsidP="00977717">
            <w:pPr>
              <w:spacing w:before="120" w:after="120"/>
              <w:rPr>
                <w:rFonts w:asciiTheme="minorHAnsi" w:hAnsiTheme="minorHAnsi"/>
              </w:rPr>
            </w:pPr>
            <w:r w:rsidRPr="00977717">
              <w:rPr>
                <w:rFonts w:asciiTheme="minorHAnsi" w:hAnsiTheme="minorHAnsi"/>
                <w:b/>
              </w:rPr>
              <w:lastRenderedPageBreak/>
              <w:t>POTENTIAL OPERATIONAL IMPACT</w:t>
            </w:r>
          </w:p>
        </w:tc>
      </w:tr>
      <w:tr w:rsidR="00110EC2" w:rsidRPr="00977717" w14:paraId="166C3708" w14:textId="77777777" w:rsidTr="00110EC2">
        <w:tc>
          <w:tcPr>
            <w:tcW w:w="15029" w:type="dxa"/>
            <w:shd w:val="clear" w:color="auto" w:fill="auto"/>
          </w:tcPr>
          <w:p w14:paraId="45419EA8" w14:textId="77777777" w:rsidR="00A14764" w:rsidRPr="00A14764" w:rsidRDefault="00A14764" w:rsidP="00A14764">
            <w:pPr>
              <w:ind w:right="90"/>
              <w:rPr>
                <w:rFonts w:asciiTheme="minorHAnsi" w:hAnsiTheme="minorHAnsi"/>
              </w:rPr>
            </w:pPr>
            <w:r w:rsidRPr="00A14764">
              <w:rPr>
                <w:rFonts w:asciiTheme="minorHAnsi" w:hAnsiTheme="minorHAnsi"/>
              </w:rPr>
              <w:t xml:space="preserve">Given that Stiff Person Syndrome is very rare, diagnosis is already likely to be made by neurologists. Where patients are in the care of a general physician, transfer will be required to a neurologist. </w:t>
            </w:r>
          </w:p>
          <w:p w14:paraId="0170605D" w14:textId="77777777" w:rsidR="00A14764" w:rsidRPr="00A14764" w:rsidRDefault="00A14764" w:rsidP="00A14764">
            <w:pPr>
              <w:ind w:right="90"/>
              <w:rPr>
                <w:rFonts w:asciiTheme="minorHAnsi" w:hAnsiTheme="minorHAnsi"/>
              </w:rPr>
            </w:pPr>
          </w:p>
          <w:p w14:paraId="4F2D6E48" w14:textId="77777777" w:rsidR="00A14764" w:rsidRPr="00A14764" w:rsidRDefault="00A14764" w:rsidP="00A14764">
            <w:pPr>
              <w:ind w:right="90"/>
              <w:rPr>
                <w:rFonts w:asciiTheme="minorHAnsi" w:hAnsiTheme="minorHAnsi"/>
              </w:rPr>
            </w:pPr>
            <w:r w:rsidRPr="00A14764">
              <w:rPr>
                <w:rFonts w:asciiTheme="minorHAnsi" w:hAnsiTheme="minorHAnsi"/>
              </w:rPr>
              <w:t xml:space="preserve">It is important that patients will have given informed consent to </w:t>
            </w:r>
            <w:proofErr w:type="spellStart"/>
            <w:r w:rsidRPr="00A14764">
              <w:rPr>
                <w:rFonts w:asciiTheme="minorHAnsi" w:hAnsiTheme="minorHAnsi"/>
              </w:rPr>
              <w:t>Ig</w:t>
            </w:r>
            <w:proofErr w:type="spellEnd"/>
            <w:r w:rsidRPr="00A14764">
              <w:rPr>
                <w:rFonts w:asciiTheme="minorHAnsi" w:hAnsiTheme="minorHAnsi"/>
              </w:rPr>
              <w:t xml:space="preserve"> treatment, which includes understanding that a measurable clinical response will determine continuing eligibility. Patients not demonstrating a satisfactory response will cease therapy at 6 months. </w:t>
            </w:r>
          </w:p>
          <w:p w14:paraId="1CEC973A" w14:textId="77777777" w:rsidR="00A14764" w:rsidRPr="00A14764" w:rsidRDefault="00A14764" w:rsidP="00A14764">
            <w:pPr>
              <w:ind w:right="90"/>
              <w:rPr>
                <w:rFonts w:asciiTheme="minorHAnsi" w:hAnsiTheme="minorHAnsi"/>
              </w:rPr>
            </w:pPr>
          </w:p>
          <w:p w14:paraId="3B17AD9D" w14:textId="2B163759" w:rsidR="00110EC2" w:rsidRPr="00977717" w:rsidRDefault="00A14764" w:rsidP="00A14764">
            <w:pPr>
              <w:ind w:right="90"/>
              <w:rPr>
                <w:rFonts w:asciiTheme="minorHAnsi" w:hAnsiTheme="minorHAnsi"/>
              </w:rPr>
            </w:pPr>
            <w:r w:rsidRPr="00A14764">
              <w:rPr>
                <w:rFonts w:asciiTheme="minorHAnsi" w:hAnsiTheme="minorHAnsi"/>
              </w:rPr>
              <w:t>Clinicians may opt for more frequent dosing to improve clinical outcome in patients - this may have an impact on scheduling of appointments.</w:t>
            </w:r>
          </w:p>
        </w:tc>
      </w:tr>
      <w:tr w:rsidR="00110EC2" w:rsidRPr="00977717" w14:paraId="55533CFC" w14:textId="77777777" w:rsidTr="00110EC2">
        <w:tc>
          <w:tcPr>
            <w:tcW w:w="15029" w:type="dxa"/>
            <w:shd w:val="clear" w:color="auto" w:fill="DBE5F1" w:themeFill="accent1" w:themeFillTint="33"/>
          </w:tcPr>
          <w:p w14:paraId="7A060DFB" w14:textId="0B9DC69F" w:rsidR="00110EC2" w:rsidRPr="00977717" w:rsidRDefault="00110EC2" w:rsidP="00977717">
            <w:pPr>
              <w:tabs>
                <w:tab w:val="left" w:pos="5970"/>
              </w:tabs>
              <w:spacing w:before="120" w:after="120"/>
              <w:rPr>
                <w:rFonts w:asciiTheme="minorHAnsi" w:hAnsiTheme="minorHAnsi"/>
              </w:rPr>
            </w:pPr>
            <w:r w:rsidRPr="00977717">
              <w:rPr>
                <w:rFonts w:asciiTheme="minorHAnsi" w:hAnsiTheme="minorHAnsi"/>
                <w:b/>
              </w:rPr>
              <w:t>POTENTIAL IMPACT ON DEMAND</w:t>
            </w:r>
          </w:p>
        </w:tc>
      </w:tr>
      <w:tr w:rsidR="00110EC2" w:rsidRPr="00977717" w14:paraId="58B50629" w14:textId="77777777" w:rsidTr="00110EC2">
        <w:tc>
          <w:tcPr>
            <w:tcW w:w="15029" w:type="dxa"/>
            <w:shd w:val="clear" w:color="auto" w:fill="auto"/>
          </w:tcPr>
          <w:p w14:paraId="3B8AD909" w14:textId="4C34D8F0" w:rsidR="00110EC2" w:rsidRPr="00977717" w:rsidRDefault="00110EC2" w:rsidP="00977717">
            <w:pPr>
              <w:spacing w:before="120" w:after="120"/>
              <w:ind w:right="90"/>
              <w:rPr>
                <w:rFonts w:asciiTheme="minorHAnsi" w:hAnsiTheme="minorHAnsi"/>
              </w:rPr>
            </w:pPr>
          </w:p>
        </w:tc>
      </w:tr>
    </w:tbl>
    <w:tbl>
      <w:tblPr>
        <w:tblStyle w:val="TableGrid"/>
        <w:tblW w:w="4733" w:type="pct"/>
        <w:tblInd w:w="534" w:type="dxa"/>
        <w:tblLook w:val="04A0" w:firstRow="1" w:lastRow="0" w:firstColumn="1" w:lastColumn="0" w:noHBand="0" w:noVBand="1"/>
      </w:tblPr>
      <w:tblGrid>
        <w:gridCol w:w="1984"/>
        <w:gridCol w:w="2987"/>
        <w:gridCol w:w="5154"/>
        <w:gridCol w:w="4946"/>
      </w:tblGrid>
      <w:tr w:rsidR="00127531" w:rsidRPr="00BF6734" w14:paraId="561FE1D9" w14:textId="77777777" w:rsidTr="005A28A3">
        <w:trPr>
          <w:trHeight w:val="479"/>
        </w:trPr>
        <w:tc>
          <w:tcPr>
            <w:tcW w:w="5000" w:type="pct"/>
            <w:gridSpan w:val="4"/>
            <w:shd w:val="clear" w:color="auto" w:fill="DBE5F1" w:themeFill="accent1" w:themeFillTint="33"/>
          </w:tcPr>
          <w:p w14:paraId="4F499D2F" w14:textId="77777777" w:rsidR="00127531" w:rsidRPr="00BF6734" w:rsidRDefault="00127531" w:rsidP="00531EC4">
            <w:pPr>
              <w:spacing w:before="120" w:after="120"/>
              <w:rPr>
                <w:rFonts w:asciiTheme="minorHAnsi" w:hAnsiTheme="minorHAnsi"/>
                <w:b/>
              </w:rPr>
            </w:pPr>
            <w:r w:rsidRPr="00BF6734">
              <w:rPr>
                <w:rFonts w:asciiTheme="minorHAnsi" w:hAnsiTheme="minorHAnsi"/>
                <w:b/>
              </w:rPr>
              <w:t>POTENTIAL IMPACT ON DEMAND</w:t>
            </w:r>
          </w:p>
        </w:tc>
      </w:tr>
      <w:tr w:rsidR="005A28A3" w:rsidRPr="00BF6734" w14:paraId="5BAAFAC3" w14:textId="77777777" w:rsidTr="005A28A3">
        <w:trPr>
          <w:trHeight w:val="1223"/>
        </w:trPr>
        <w:tc>
          <w:tcPr>
            <w:tcW w:w="658" w:type="pct"/>
          </w:tcPr>
          <w:p w14:paraId="20283081" w14:textId="77777777" w:rsidR="00127531" w:rsidRPr="00BF6734" w:rsidRDefault="00127531" w:rsidP="00531EC4">
            <w:pPr>
              <w:spacing w:before="120" w:after="120"/>
              <w:rPr>
                <w:rFonts w:asciiTheme="minorHAnsi" w:hAnsiTheme="minorHAnsi"/>
                <w:b/>
              </w:rPr>
            </w:pPr>
            <w:r w:rsidRPr="00BF6734">
              <w:rPr>
                <w:rFonts w:asciiTheme="minorHAnsi" w:hAnsiTheme="minorHAnsi"/>
                <w:b/>
              </w:rPr>
              <w:t>Patient Numbers</w:t>
            </w:r>
          </w:p>
          <w:p w14:paraId="43DBFDEA" w14:textId="77777777" w:rsidR="00127531" w:rsidRDefault="00127531" w:rsidP="00531EC4">
            <w:pPr>
              <w:spacing w:before="120" w:after="120"/>
              <w:rPr>
                <w:rFonts w:asciiTheme="minorHAnsi" w:hAnsiTheme="minorHAnsi"/>
                <w:b/>
              </w:rPr>
            </w:pPr>
            <w:r w:rsidRPr="00BF6734">
              <w:rPr>
                <w:rFonts w:asciiTheme="minorHAnsi" w:hAnsiTheme="minorHAnsi"/>
                <w:b/>
              </w:rPr>
              <w:t>2013-14</w:t>
            </w:r>
            <w:r>
              <w:rPr>
                <w:rFonts w:asciiTheme="minorHAnsi" w:hAnsiTheme="minorHAnsi"/>
                <w:b/>
              </w:rPr>
              <w:t xml:space="preserve">  </w:t>
            </w:r>
          </w:p>
          <w:p w14:paraId="40D98334" w14:textId="69A8C9F4" w:rsidR="00A14764" w:rsidRPr="00BF6734" w:rsidRDefault="00A14764" w:rsidP="00531EC4">
            <w:pPr>
              <w:spacing w:before="120" w:after="120"/>
              <w:rPr>
                <w:rFonts w:asciiTheme="minorHAnsi" w:hAnsiTheme="minorHAnsi"/>
                <w:b/>
              </w:rPr>
            </w:pPr>
            <w:r>
              <w:rPr>
                <w:rFonts w:asciiTheme="minorHAnsi" w:hAnsiTheme="minorHAnsi"/>
                <w:b/>
              </w:rPr>
              <w:t>Usage 13/14</w:t>
            </w:r>
          </w:p>
        </w:tc>
        <w:tc>
          <w:tcPr>
            <w:tcW w:w="991" w:type="pct"/>
          </w:tcPr>
          <w:p w14:paraId="0B588E94" w14:textId="77777777" w:rsidR="00127531" w:rsidRDefault="00127531" w:rsidP="00531EC4">
            <w:pPr>
              <w:spacing w:before="120" w:after="120"/>
              <w:rPr>
                <w:rFonts w:asciiTheme="minorHAnsi" w:hAnsiTheme="minorHAnsi"/>
                <w:b/>
              </w:rPr>
            </w:pPr>
            <w:r>
              <w:rPr>
                <w:rFonts w:asciiTheme="minorHAnsi" w:hAnsiTheme="minorHAnsi"/>
                <w:b/>
              </w:rPr>
              <w:t xml:space="preserve">  </w:t>
            </w:r>
            <w:r w:rsidR="00A14764">
              <w:rPr>
                <w:rFonts w:asciiTheme="minorHAnsi" w:hAnsiTheme="minorHAnsi"/>
                <w:b/>
              </w:rPr>
              <w:t>41</w:t>
            </w:r>
          </w:p>
          <w:p w14:paraId="40373E54" w14:textId="607C8C12" w:rsidR="00A14764" w:rsidRPr="00BF6734" w:rsidRDefault="00A14764" w:rsidP="00531EC4">
            <w:pPr>
              <w:spacing w:before="120" w:after="120"/>
              <w:rPr>
                <w:rFonts w:asciiTheme="minorHAnsi" w:hAnsiTheme="minorHAnsi"/>
              </w:rPr>
            </w:pPr>
            <w:r>
              <w:rPr>
                <w:rFonts w:asciiTheme="minorHAnsi" w:hAnsiTheme="minorHAnsi"/>
                <w:b/>
              </w:rPr>
              <w:t>&lt;1%</w:t>
            </w:r>
          </w:p>
        </w:tc>
        <w:tc>
          <w:tcPr>
            <w:tcW w:w="1710" w:type="pct"/>
          </w:tcPr>
          <w:p w14:paraId="1568CFC8" w14:textId="77777777" w:rsidR="00A14764" w:rsidRDefault="00127531" w:rsidP="00A14764">
            <w:pPr>
              <w:ind w:left="-43" w:right="90"/>
              <w:rPr>
                <w:rFonts w:asciiTheme="minorHAnsi" w:hAnsiTheme="minorHAnsi"/>
              </w:rPr>
            </w:pPr>
            <w:r>
              <w:rPr>
                <w:rFonts w:asciiTheme="minorHAnsi" w:hAnsiTheme="minorHAnsi"/>
              </w:rPr>
              <w:t xml:space="preserve"> </w:t>
            </w:r>
            <w:r w:rsidR="00A14764" w:rsidRPr="00977717">
              <w:rPr>
                <w:rFonts w:asciiTheme="minorHAnsi" w:hAnsiTheme="minorHAnsi"/>
              </w:rPr>
              <w:t>Given the few patients with this condition it is unlikely that there will be any</w:t>
            </w:r>
            <w:r w:rsidR="00A14764">
              <w:rPr>
                <w:rFonts w:asciiTheme="minorHAnsi" w:hAnsiTheme="minorHAnsi"/>
              </w:rPr>
              <w:t xml:space="preserve"> significant impact on demand. </w:t>
            </w:r>
          </w:p>
          <w:p w14:paraId="225EFADA" w14:textId="722656C7" w:rsidR="00127531" w:rsidRPr="00BF6734" w:rsidRDefault="00127531" w:rsidP="00A14764">
            <w:pPr>
              <w:ind w:left="-43" w:right="90"/>
              <w:rPr>
                <w:rFonts w:asciiTheme="minorHAnsi" w:hAnsiTheme="minorHAnsi"/>
                <w:b/>
              </w:rPr>
            </w:pPr>
          </w:p>
        </w:tc>
        <w:tc>
          <w:tcPr>
            <w:tcW w:w="1641" w:type="pct"/>
          </w:tcPr>
          <w:p w14:paraId="30CA4AF9" w14:textId="77777777" w:rsidR="00127531" w:rsidRPr="00BF6734" w:rsidRDefault="00127531" w:rsidP="00531EC4">
            <w:pPr>
              <w:spacing w:before="120" w:after="120"/>
              <w:rPr>
                <w:rFonts w:asciiTheme="minorHAnsi" w:hAnsiTheme="minorHAnsi"/>
              </w:rPr>
            </w:pPr>
            <w:r>
              <w:rPr>
                <w:rFonts w:asciiTheme="minorHAnsi" w:hAnsiTheme="minorHAnsi"/>
              </w:rPr>
              <w:t xml:space="preserve">  </w:t>
            </w:r>
          </w:p>
        </w:tc>
      </w:tr>
      <w:tr w:rsidR="00127531" w:rsidRPr="00BF6734" w14:paraId="738C8621" w14:textId="77777777" w:rsidTr="005A28A3">
        <w:trPr>
          <w:trHeight w:val="479"/>
        </w:trPr>
        <w:tc>
          <w:tcPr>
            <w:tcW w:w="5000" w:type="pct"/>
            <w:gridSpan w:val="4"/>
            <w:shd w:val="clear" w:color="auto" w:fill="DBE5F1" w:themeFill="accent1" w:themeFillTint="33"/>
          </w:tcPr>
          <w:p w14:paraId="4962EF8B" w14:textId="5F627DAF" w:rsidR="00127531" w:rsidRPr="00BF6734" w:rsidRDefault="00127531" w:rsidP="00531EC4">
            <w:pPr>
              <w:spacing w:before="120" w:after="120"/>
              <w:rPr>
                <w:rFonts w:asciiTheme="minorHAnsi" w:hAnsiTheme="minorHAnsi"/>
                <w:b/>
              </w:rPr>
            </w:pPr>
            <w:r w:rsidRPr="00BF6734">
              <w:rPr>
                <w:rFonts w:asciiTheme="minorHAnsi" w:hAnsiTheme="minorHAnsi"/>
                <w:b/>
              </w:rPr>
              <w:t>POTENTIAL IMPACT ON COST</w:t>
            </w:r>
          </w:p>
        </w:tc>
      </w:tr>
      <w:tr w:rsidR="005A28A3" w:rsidRPr="00BF6734" w14:paraId="5D37E1C9" w14:textId="77777777" w:rsidTr="005A28A3">
        <w:trPr>
          <w:trHeight w:val="1329"/>
        </w:trPr>
        <w:tc>
          <w:tcPr>
            <w:tcW w:w="658" w:type="pct"/>
          </w:tcPr>
          <w:p w14:paraId="710289A2" w14:textId="77777777" w:rsidR="00127531" w:rsidRPr="00BF6734" w:rsidRDefault="00127531" w:rsidP="00531EC4">
            <w:pPr>
              <w:spacing w:before="120" w:after="120"/>
              <w:rPr>
                <w:rFonts w:asciiTheme="minorHAnsi" w:hAnsiTheme="minorHAnsi"/>
                <w:b/>
              </w:rPr>
            </w:pPr>
            <w:r w:rsidRPr="00BF6734">
              <w:rPr>
                <w:rFonts w:asciiTheme="minorHAnsi" w:hAnsiTheme="minorHAnsi"/>
                <w:b/>
              </w:rPr>
              <w:t>Current cost</w:t>
            </w:r>
          </w:p>
        </w:tc>
        <w:tc>
          <w:tcPr>
            <w:tcW w:w="991" w:type="pct"/>
          </w:tcPr>
          <w:p w14:paraId="0967108E" w14:textId="77777777" w:rsidR="00127531" w:rsidRPr="00BF6734" w:rsidRDefault="00127531" w:rsidP="00531EC4">
            <w:pPr>
              <w:spacing w:before="120" w:after="120"/>
              <w:rPr>
                <w:rFonts w:asciiTheme="minorHAnsi" w:hAnsiTheme="minorHAnsi"/>
              </w:rPr>
            </w:pPr>
          </w:p>
        </w:tc>
        <w:tc>
          <w:tcPr>
            <w:tcW w:w="1710" w:type="pct"/>
          </w:tcPr>
          <w:p w14:paraId="51F2BF13" w14:textId="77777777" w:rsidR="00127531" w:rsidRPr="00BF6734" w:rsidRDefault="00127531" w:rsidP="00531EC4">
            <w:pPr>
              <w:spacing w:before="120" w:after="120"/>
              <w:rPr>
                <w:rFonts w:asciiTheme="minorHAnsi" w:hAnsiTheme="minorHAnsi"/>
                <w:b/>
              </w:rPr>
            </w:pPr>
            <w:r w:rsidRPr="00BF6734">
              <w:rPr>
                <w:rFonts w:asciiTheme="minorHAnsi" w:hAnsiTheme="minorHAnsi"/>
                <w:b/>
              </w:rPr>
              <w:t>Anticipated reduction in cost, if any</w:t>
            </w:r>
          </w:p>
          <w:p w14:paraId="68990B2D" w14:textId="77777777" w:rsidR="00127531" w:rsidRPr="00BF6734" w:rsidRDefault="00127531" w:rsidP="00531EC4">
            <w:pPr>
              <w:spacing w:before="120" w:after="120"/>
              <w:rPr>
                <w:rFonts w:asciiTheme="minorHAnsi" w:hAnsiTheme="minorHAnsi"/>
              </w:rPr>
            </w:pPr>
            <w:r w:rsidRPr="00BF6734">
              <w:rPr>
                <w:rFonts w:asciiTheme="minorHAnsi" w:hAnsiTheme="minorHAnsi"/>
                <w:b/>
              </w:rPr>
              <w:t>Marginal</w:t>
            </w:r>
            <w:r w:rsidRPr="00BF6734">
              <w:rPr>
                <w:rFonts w:asciiTheme="minorHAnsi" w:hAnsiTheme="minorHAnsi"/>
              </w:rPr>
              <w:t xml:space="preserve"> = borderline or unchanged from current cost</w:t>
            </w:r>
          </w:p>
          <w:p w14:paraId="524E9DEE" w14:textId="77777777" w:rsidR="00127531" w:rsidRPr="00BF6734" w:rsidRDefault="00127531" w:rsidP="00531EC4">
            <w:pPr>
              <w:spacing w:before="120" w:after="120"/>
              <w:rPr>
                <w:rFonts w:asciiTheme="minorHAnsi" w:hAnsiTheme="minorHAnsi"/>
              </w:rPr>
            </w:pPr>
            <w:r w:rsidRPr="00BF6734">
              <w:rPr>
                <w:rFonts w:asciiTheme="minorHAnsi" w:hAnsiTheme="minorHAnsi"/>
                <w:b/>
              </w:rPr>
              <w:t>Minor</w:t>
            </w:r>
            <w:r w:rsidRPr="00BF6734">
              <w:rPr>
                <w:rFonts w:asciiTheme="minorHAnsi" w:hAnsiTheme="minorHAnsi"/>
              </w:rPr>
              <w:t xml:space="preserve"> = decrease by $500K - $1.99M from current cost</w:t>
            </w:r>
          </w:p>
          <w:p w14:paraId="2D0D9279" w14:textId="77777777" w:rsidR="00127531" w:rsidRPr="00BF6734" w:rsidRDefault="00127531" w:rsidP="00531EC4">
            <w:pPr>
              <w:spacing w:before="120" w:after="120"/>
              <w:rPr>
                <w:rFonts w:asciiTheme="minorHAnsi" w:hAnsiTheme="minorHAnsi"/>
                <w:b/>
              </w:rPr>
            </w:pPr>
            <w:r w:rsidRPr="00BF6734">
              <w:rPr>
                <w:rFonts w:asciiTheme="minorHAnsi" w:hAnsiTheme="minorHAnsi"/>
                <w:b/>
              </w:rPr>
              <w:t>Major</w:t>
            </w:r>
            <w:r w:rsidRPr="00BF6734">
              <w:rPr>
                <w:rFonts w:asciiTheme="minorHAnsi" w:hAnsiTheme="minorHAnsi"/>
              </w:rPr>
              <w:t xml:space="preserve"> =  decrease $2M+ from current cost</w:t>
            </w:r>
          </w:p>
        </w:tc>
        <w:tc>
          <w:tcPr>
            <w:tcW w:w="1641" w:type="pct"/>
          </w:tcPr>
          <w:p w14:paraId="7CB8EBB8" w14:textId="77777777" w:rsidR="00127531" w:rsidRPr="00BF6734" w:rsidRDefault="00127531" w:rsidP="00531EC4">
            <w:pPr>
              <w:spacing w:before="120" w:after="120"/>
              <w:rPr>
                <w:rFonts w:asciiTheme="minorHAnsi" w:hAnsiTheme="minorHAnsi"/>
                <w:b/>
              </w:rPr>
            </w:pPr>
            <w:r w:rsidRPr="00BF6734">
              <w:rPr>
                <w:rFonts w:asciiTheme="minorHAnsi" w:hAnsiTheme="minorHAnsi"/>
                <w:b/>
              </w:rPr>
              <w:t>Marginal</w:t>
            </w:r>
          </w:p>
        </w:tc>
      </w:tr>
    </w:tbl>
    <w:tbl>
      <w:tblPr>
        <w:tblStyle w:val="TableGrid"/>
        <w:tblpPr w:leftFromText="181" w:rightFromText="181" w:vertAnchor="text" w:horzAnchor="page" w:tblpX="1093" w:tblpY="471"/>
        <w:tblOverlap w:val="never"/>
        <w:tblW w:w="4720" w:type="pct"/>
        <w:tblLook w:val="0680" w:firstRow="0" w:lastRow="0" w:firstColumn="1" w:lastColumn="0" w:noHBand="1" w:noVBand="1"/>
      </w:tblPr>
      <w:tblGrid>
        <w:gridCol w:w="15029"/>
      </w:tblGrid>
      <w:tr w:rsidR="00110EC2" w:rsidRPr="00977717" w14:paraId="4F4D1084" w14:textId="77777777" w:rsidTr="00110EC2">
        <w:tc>
          <w:tcPr>
            <w:tcW w:w="15029" w:type="dxa"/>
            <w:shd w:val="clear" w:color="auto" w:fill="DBE5F1" w:themeFill="accent1" w:themeFillTint="33"/>
          </w:tcPr>
          <w:p w14:paraId="34417C5F" w14:textId="2563EA43" w:rsidR="00110EC2" w:rsidRPr="00977717" w:rsidRDefault="00110EC2" w:rsidP="00977717">
            <w:pPr>
              <w:tabs>
                <w:tab w:val="left" w:pos="2535"/>
              </w:tabs>
              <w:spacing w:before="120" w:after="120"/>
              <w:rPr>
                <w:rFonts w:asciiTheme="minorHAnsi" w:hAnsiTheme="minorHAnsi"/>
                <w:b/>
              </w:rPr>
            </w:pPr>
            <w:r w:rsidRPr="00977717">
              <w:rPr>
                <w:rFonts w:asciiTheme="minorHAnsi" w:hAnsiTheme="minorHAnsi"/>
                <w:b/>
              </w:rPr>
              <w:t>BIBLIOGRAPHY</w:t>
            </w:r>
          </w:p>
        </w:tc>
      </w:tr>
      <w:tr w:rsidR="00110EC2" w:rsidRPr="00977717" w14:paraId="2433718D" w14:textId="77777777" w:rsidTr="00110EC2">
        <w:tc>
          <w:tcPr>
            <w:tcW w:w="15029" w:type="dxa"/>
            <w:shd w:val="clear" w:color="auto" w:fill="auto"/>
          </w:tcPr>
          <w:p w14:paraId="542AEB4A" w14:textId="77777777" w:rsidR="00977717" w:rsidRPr="00977717" w:rsidRDefault="00977717" w:rsidP="00977717">
            <w:pPr>
              <w:spacing w:before="120" w:after="120"/>
              <w:rPr>
                <w:rFonts w:asciiTheme="minorHAnsi" w:eastAsia="Times New Roman" w:hAnsiTheme="minorHAnsi" w:cs="Arial"/>
                <w:color w:val="333333"/>
                <w:lang w:eastAsia="en-AU"/>
              </w:rPr>
            </w:pPr>
            <w:proofErr w:type="spellStart"/>
            <w:r w:rsidRPr="00977717">
              <w:rPr>
                <w:rFonts w:asciiTheme="minorHAnsi" w:eastAsia="Times New Roman" w:hAnsiTheme="minorHAnsi" w:cs="Arial"/>
                <w:color w:val="333333"/>
                <w:lang w:eastAsia="en-AU"/>
              </w:rPr>
              <w:t>Biotext</w:t>
            </w:r>
            <w:proofErr w:type="spellEnd"/>
            <w:r w:rsidRPr="00977717">
              <w:rPr>
                <w:rFonts w:asciiTheme="minorHAnsi" w:eastAsia="Times New Roman" w:hAnsiTheme="minorHAnsi" w:cs="Arial"/>
                <w:color w:val="333333"/>
                <w:lang w:eastAsia="en-AU"/>
              </w:rPr>
              <w:t xml:space="preserve"> 2004, ‘Summary data on conditions and papers’, in </w:t>
            </w:r>
            <w:r w:rsidRPr="00977717">
              <w:rPr>
                <w:rFonts w:asciiTheme="minorHAnsi" w:eastAsia="Times New Roman" w:hAnsiTheme="minorHAnsi" w:cs="Arial"/>
                <w:i/>
                <w:iCs/>
                <w:color w:val="333333"/>
                <w:lang w:eastAsia="en-AU"/>
              </w:rPr>
              <w:t>A systematic literature review and report on the efficacy of intravenous immunoglobulin therapy and its risks</w:t>
            </w:r>
            <w:r w:rsidRPr="00977717">
              <w:rPr>
                <w:rFonts w:asciiTheme="minorHAnsi" w:eastAsia="Times New Roman" w:hAnsiTheme="minorHAnsi" w:cs="Arial"/>
                <w:color w:val="333333"/>
                <w:lang w:eastAsia="en-AU"/>
              </w:rPr>
              <w:t>, commissioned by the National Blood Authority on behalf of all Australian Governments, pp. 190–1. Available from: www.nba.gov.au/pubs.htm [cited 7 Dec 2007]</w:t>
            </w:r>
          </w:p>
          <w:p w14:paraId="0D9163F5" w14:textId="77777777" w:rsidR="00977717" w:rsidRPr="00977717" w:rsidRDefault="00977717" w:rsidP="00977717">
            <w:pPr>
              <w:spacing w:before="120" w:after="120"/>
              <w:rPr>
                <w:rFonts w:asciiTheme="minorHAnsi" w:eastAsia="Times New Roman" w:hAnsiTheme="minorHAnsi" w:cs="Arial"/>
                <w:color w:val="333333"/>
                <w:lang w:eastAsia="en-AU"/>
              </w:rPr>
            </w:pPr>
            <w:proofErr w:type="spellStart"/>
            <w:r w:rsidRPr="00977717">
              <w:rPr>
                <w:rFonts w:asciiTheme="minorHAnsi" w:eastAsia="Times New Roman" w:hAnsiTheme="minorHAnsi" w:cs="Arial"/>
                <w:color w:val="333333"/>
                <w:lang w:eastAsia="en-AU"/>
              </w:rPr>
              <w:t>Dalakas</w:t>
            </w:r>
            <w:proofErr w:type="spellEnd"/>
            <w:r w:rsidRPr="00977717">
              <w:rPr>
                <w:rFonts w:asciiTheme="minorHAnsi" w:eastAsia="Times New Roman" w:hAnsiTheme="minorHAnsi" w:cs="Arial"/>
                <w:color w:val="333333"/>
                <w:lang w:eastAsia="en-AU"/>
              </w:rPr>
              <w:t xml:space="preserve">, MC 2005, ‘The role of </w:t>
            </w:r>
            <w:proofErr w:type="spellStart"/>
            <w:r w:rsidRPr="00977717">
              <w:rPr>
                <w:rFonts w:asciiTheme="minorHAnsi" w:eastAsia="Times New Roman" w:hAnsiTheme="minorHAnsi" w:cs="Arial"/>
                <w:color w:val="333333"/>
                <w:lang w:eastAsia="en-AU"/>
              </w:rPr>
              <w:t>IVIg</w:t>
            </w:r>
            <w:proofErr w:type="spellEnd"/>
            <w:r w:rsidRPr="00977717">
              <w:rPr>
                <w:rFonts w:asciiTheme="minorHAnsi" w:eastAsia="Times New Roman" w:hAnsiTheme="minorHAnsi" w:cs="Arial"/>
                <w:color w:val="333333"/>
                <w:lang w:eastAsia="en-AU"/>
              </w:rPr>
              <w:t xml:space="preserve"> in the treatment of patients with stiff person syndrome and other neurological diseases associated with anti-GAD antibodies’, </w:t>
            </w:r>
            <w:r w:rsidRPr="00977717">
              <w:rPr>
                <w:rFonts w:asciiTheme="minorHAnsi" w:eastAsia="Times New Roman" w:hAnsiTheme="minorHAnsi" w:cs="Arial"/>
                <w:i/>
                <w:iCs/>
                <w:color w:val="333333"/>
                <w:lang w:eastAsia="en-AU"/>
              </w:rPr>
              <w:lastRenderedPageBreak/>
              <w:t>Journal of Neurology</w:t>
            </w:r>
            <w:r w:rsidRPr="00977717">
              <w:rPr>
                <w:rFonts w:asciiTheme="minorHAnsi" w:eastAsia="Times New Roman" w:hAnsiTheme="minorHAnsi" w:cs="Arial"/>
                <w:color w:val="333333"/>
                <w:lang w:eastAsia="en-AU"/>
              </w:rPr>
              <w:t>, vol. 252, suppl. 1, pp. 119–25.</w:t>
            </w:r>
          </w:p>
          <w:p w14:paraId="1DB45AF7" w14:textId="77777777" w:rsidR="00977717" w:rsidRPr="00977717" w:rsidRDefault="00977717" w:rsidP="00977717">
            <w:pPr>
              <w:spacing w:before="120" w:after="120"/>
              <w:rPr>
                <w:rFonts w:asciiTheme="minorHAnsi" w:eastAsia="Times New Roman" w:hAnsiTheme="minorHAnsi" w:cs="Arial"/>
                <w:color w:val="333333"/>
                <w:lang w:eastAsia="en-AU"/>
              </w:rPr>
            </w:pPr>
            <w:proofErr w:type="spellStart"/>
            <w:r w:rsidRPr="00977717">
              <w:rPr>
                <w:rFonts w:asciiTheme="minorHAnsi" w:eastAsia="Times New Roman" w:hAnsiTheme="minorHAnsi" w:cs="Arial"/>
                <w:color w:val="333333"/>
                <w:lang w:eastAsia="en-AU"/>
              </w:rPr>
              <w:t>Dalakas</w:t>
            </w:r>
            <w:proofErr w:type="spellEnd"/>
            <w:r w:rsidRPr="00977717">
              <w:rPr>
                <w:rFonts w:asciiTheme="minorHAnsi" w:eastAsia="Times New Roman" w:hAnsiTheme="minorHAnsi" w:cs="Arial"/>
                <w:color w:val="333333"/>
                <w:lang w:eastAsia="en-AU"/>
              </w:rPr>
              <w:t xml:space="preserve">, MC, </w:t>
            </w:r>
            <w:proofErr w:type="spellStart"/>
            <w:r w:rsidRPr="00977717">
              <w:rPr>
                <w:rFonts w:asciiTheme="minorHAnsi" w:eastAsia="Times New Roman" w:hAnsiTheme="minorHAnsi" w:cs="Arial"/>
                <w:color w:val="333333"/>
                <w:lang w:eastAsia="en-AU"/>
              </w:rPr>
              <w:t>Fujii</w:t>
            </w:r>
            <w:proofErr w:type="spellEnd"/>
            <w:r w:rsidRPr="00977717">
              <w:rPr>
                <w:rFonts w:asciiTheme="minorHAnsi" w:eastAsia="Times New Roman" w:hAnsiTheme="minorHAnsi" w:cs="Arial"/>
                <w:color w:val="333333"/>
                <w:lang w:eastAsia="en-AU"/>
              </w:rPr>
              <w:t xml:space="preserve">, M, Li, M, et al 2001, ‘High-dose intravenous immune globulin for stiff-person syndrome’ [see comment], </w:t>
            </w:r>
            <w:r w:rsidRPr="00977717">
              <w:rPr>
                <w:rFonts w:asciiTheme="minorHAnsi" w:eastAsia="Times New Roman" w:hAnsiTheme="minorHAnsi" w:cs="Arial"/>
                <w:i/>
                <w:iCs/>
                <w:color w:val="333333"/>
                <w:lang w:eastAsia="en-AU"/>
              </w:rPr>
              <w:t>New England Journal of Medicine</w:t>
            </w:r>
            <w:r w:rsidRPr="00977717">
              <w:rPr>
                <w:rFonts w:asciiTheme="minorHAnsi" w:eastAsia="Times New Roman" w:hAnsiTheme="minorHAnsi" w:cs="Arial"/>
                <w:color w:val="333333"/>
                <w:lang w:eastAsia="en-AU"/>
              </w:rPr>
              <w:t>, vol. 345, no. 26, pp. 1870–6.</w:t>
            </w:r>
          </w:p>
          <w:p w14:paraId="2B12689C" w14:textId="77777777" w:rsidR="00977717" w:rsidRPr="00977717" w:rsidRDefault="00977717" w:rsidP="00977717">
            <w:pPr>
              <w:spacing w:before="120" w:after="120"/>
              <w:rPr>
                <w:rFonts w:asciiTheme="minorHAnsi" w:eastAsia="Times New Roman" w:hAnsiTheme="minorHAnsi" w:cs="Arial"/>
                <w:color w:val="333333"/>
                <w:lang w:eastAsia="en-AU"/>
              </w:rPr>
            </w:pPr>
            <w:r w:rsidRPr="00977717">
              <w:rPr>
                <w:rFonts w:asciiTheme="minorHAnsi" w:eastAsia="Times New Roman" w:hAnsiTheme="minorHAnsi" w:cs="Arial"/>
                <w:color w:val="333333"/>
                <w:lang w:eastAsia="en-AU"/>
              </w:rPr>
              <w:t xml:space="preserve">Kornberg, AJ, for the Asia–Pacific </w:t>
            </w:r>
            <w:proofErr w:type="spellStart"/>
            <w:r w:rsidRPr="00977717">
              <w:rPr>
                <w:rFonts w:asciiTheme="minorHAnsi" w:eastAsia="Times New Roman" w:hAnsiTheme="minorHAnsi" w:cs="Arial"/>
                <w:color w:val="333333"/>
                <w:lang w:eastAsia="en-AU"/>
              </w:rPr>
              <w:t>IVIg</w:t>
            </w:r>
            <w:proofErr w:type="spellEnd"/>
            <w:r w:rsidRPr="00977717">
              <w:rPr>
                <w:rFonts w:asciiTheme="minorHAnsi" w:eastAsia="Times New Roman" w:hAnsiTheme="minorHAnsi" w:cs="Arial"/>
                <w:color w:val="333333"/>
                <w:lang w:eastAsia="en-AU"/>
              </w:rPr>
              <w:t xml:space="preserve"> Advisory Board 2004, </w:t>
            </w:r>
            <w:r w:rsidRPr="00977717">
              <w:rPr>
                <w:rFonts w:asciiTheme="minorHAnsi" w:eastAsia="Times New Roman" w:hAnsiTheme="minorHAnsi" w:cs="Arial"/>
                <w:i/>
                <w:iCs/>
                <w:color w:val="333333"/>
                <w:lang w:eastAsia="en-AU"/>
              </w:rPr>
              <w:t xml:space="preserve">Bringing consensus to the use of </w:t>
            </w:r>
            <w:proofErr w:type="spellStart"/>
            <w:r w:rsidRPr="00977717">
              <w:rPr>
                <w:rFonts w:asciiTheme="minorHAnsi" w:eastAsia="Times New Roman" w:hAnsiTheme="minorHAnsi" w:cs="Arial"/>
                <w:i/>
                <w:iCs/>
                <w:color w:val="333333"/>
                <w:lang w:eastAsia="en-AU"/>
              </w:rPr>
              <w:t>IVIg</w:t>
            </w:r>
            <w:proofErr w:type="spellEnd"/>
            <w:r w:rsidRPr="00977717">
              <w:rPr>
                <w:rFonts w:asciiTheme="minorHAnsi" w:eastAsia="Times New Roman" w:hAnsiTheme="minorHAnsi" w:cs="Arial"/>
                <w:i/>
                <w:iCs/>
                <w:color w:val="333333"/>
                <w:lang w:eastAsia="en-AU"/>
              </w:rPr>
              <w:t xml:space="preserve"> in neurology. Expert consensus statements on the use of </w:t>
            </w:r>
            <w:proofErr w:type="spellStart"/>
            <w:r w:rsidRPr="00977717">
              <w:rPr>
                <w:rFonts w:asciiTheme="minorHAnsi" w:eastAsia="Times New Roman" w:hAnsiTheme="minorHAnsi" w:cs="Arial"/>
                <w:i/>
                <w:iCs/>
                <w:color w:val="333333"/>
                <w:lang w:eastAsia="en-AU"/>
              </w:rPr>
              <w:t>IVIg</w:t>
            </w:r>
            <w:proofErr w:type="spellEnd"/>
            <w:r w:rsidRPr="00977717">
              <w:rPr>
                <w:rFonts w:asciiTheme="minorHAnsi" w:eastAsia="Times New Roman" w:hAnsiTheme="minorHAnsi" w:cs="Arial"/>
                <w:i/>
                <w:iCs/>
                <w:color w:val="333333"/>
                <w:lang w:eastAsia="en-AU"/>
              </w:rPr>
              <w:t xml:space="preserve"> in neurology</w:t>
            </w:r>
            <w:r w:rsidRPr="00977717">
              <w:rPr>
                <w:rFonts w:asciiTheme="minorHAnsi" w:eastAsia="Times New Roman" w:hAnsiTheme="minorHAnsi" w:cs="Arial"/>
                <w:color w:val="333333"/>
                <w:lang w:eastAsia="en-AU"/>
              </w:rPr>
              <w:t xml:space="preserve">, 1st </w:t>
            </w:r>
            <w:proofErr w:type="spellStart"/>
            <w:r w:rsidRPr="00977717">
              <w:rPr>
                <w:rFonts w:asciiTheme="minorHAnsi" w:eastAsia="Times New Roman" w:hAnsiTheme="minorHAnsi" w:cs="Arial"/>
                <w:color w:val="333333"/>
                <w:lang w:eastAsia="en-AU"/>
              </w:rPr>
              <w:t>edn</w:t>
            </w:r>
            <w:proofErr w:type="spellEnd"/>
            <w:r w:rsidRPr="00977717">
              <w:rPr>
                <w:rFonts w:asciiTheme="minorHAnsi" w:eastAsia="Times New Roman" w:hAnsiTheme="minorHAnsi" w:cs="Arial"/>
                <w:color w:val="333333"/>
                <w:lang w:eastAsia="en-AU"/>
              </w:rPr>
              <w:t xml:space="preserve">, Asia–Pacific </w:t>
            </w:r>
            <w:proofErr w:type="spellStart"/>
            <w:r w:rsidRPr="00977717">
              <w:rPr>
                <w:rFonts w:asciiTheme="minorHAnsi" w:eastAsia="Times New Roman" w:hAnsiTheme="minorHAnsi" w:cs="Arial"/>
                <w:color w:val="333333"/>
                <w:lang w:eastAsia="en-AU"/>
              </w:rPr>
              <w:t>IVIg</w:t>
            </w:r>
            <w:proofErr w:type="spellEnd"/>
            <w:r w:rsidRPr="00977717">
              <w:rPr>
                <w:rFonts w:asciiTheme="minorHAnsi" w:eastAsia="Times New Roman" w:hAnsiTheme="minorHAnsi" w:cs="Arial"/>
                <w:color w:val="333333"/>
                <w:lang w:eastAsia="en-AU"/>
              </w:rPr>
              <w:t xml:space="preserve"> Advisory Board, Melbourne, pp. 70–2.</w:t>
            </w:r>
          </w:p>
          <w:p w14:paraId="1375AB25" w14:textId="19093FEC" w:rsidR="00110EC2" w:rsidRPr="00977717" w:rsidRDefault="00977717" w:rsidP="00680279">
            <w:pPr>
              <w:spacing w:before="120" w:after="120"/>
              <w:rPr>
                <w:rFonts w:asciiTheme="minorHAnsi" w:hAnsiTheme="minorHAnsi"/>
              </w:rPr>
            </w:pPr>
            <w:r w:rsidRPr="00977717">
              <w:rPr>
                <w:rFonts w:asciiTheme="minorHAnsi" w:eastAsia="Times New Roman" w:hAnsiTheme="minorHAnsi" w:cs="Arial"/>
                <w:color w:val="333333"/>
                <w:lang w:eastAsia="en-AU"/>
              </w:rPr>
              <w:t xml:space="preserve">Rowland, LP &amp; </w:t>
            </w:r>
            <w:proofErr w:type="spellStart"/>
            <w:r w:rsidRPr="00977717">
              <w:rPr>
                <w:rFonts w:asciiTheme="minorHAnsi" w:eastAsia="Times New Roman" w:hAnsiTheme="minorHAnsi" w:cs="Arial"/>
                <w:color w:val="333333"/>
                <w:lang w:eastAsia="en-AU"/>
              </w:rPr>
              <w:t>Layzer</w:t>
            </w:r>
            <w:proofErr w:type="spellEnd"/>
            <w:r w:rsidRPr="00977717">
              <w:rPr>
                <w:rFonts w:asciiTheme="minorHAnsi" w:eastAsia="Times New Roman" w:hAnsiTheme="minorHAnsi" w:cs="Arial"/>
                <w:color w:val="333333"/>
                <w:lang w:eastAsia="en-AU"/>
              </w:rPr>
              <w:t xml:space="preserve"> RB 2005, ‘Stiff man syndrome (</w:t>
            </w:r>
            <w:proofErr w:type="spellStart"/>
            <w:r w:rsidRPr="00977717">
              <w:rPr>
                <w:rFonts w:asciiTheme="minorHAnsi" w:eastAsia="Times New Roman" w:hAnsiTheme="minorHAnsi" w:cs="Arial"/>
                <w:color w:val="333333"/>
                <w:lang w:eastAsia="en-AU"/>
              </w:rPr>
              <w:t>Moersch</w:t>
            </w:r>
            <w:proofErr w:type="spellEnd"/>
            <w:r w:rsidRPr="00977717">
              <w:rPr>
                <w:rFonts w:asciiTheme="minorHAnsi" w:eastAsia="Times New Roman" w:hAnsiTheme="minorHAnsi" w:cs="Arial"/>
                <w:color w:val="333333"/>
                <w:lang w:eastAsia="en-AU"/>
              </w:rPr>
              <w:t xml:space="preserve">– </w:t>
            </w:r>
            <w:proofErr w:type="spellStart"/>
            <w:r w:rsidRPr="00977717">
              <w:rPr>
                <w:rFonts w:asciiTheme="minorHAnsi" w:eastAsia="Times New Roman" w:hAnsiTheme="minorHAnsi" w:cs="Arial"/>
                <w:color w:val="333333"/>
                <w:lang w:eastAsia="en-AU"/>
              </w:rPr>
              <w:t>Woltman</w:t>
            </w:r>
            <w:proofErr w:type="spellEnd"/>
            <w:r w:rsidRPr="00977717">
              <w:rPr>
                <w:rFonts w:asciiTheme="minorHAnsi" w:eastAsia="Times New Roman" w:hAnsiTheme="minorHAnsi" w:cs="Arial"/>
                <w:color w:val="333333"/>
                <w:lang w:eastAsia="en-AU"/>
              </w:rPr>
              <w:t xml:space="preserve"> syndrome)‘, in LP Rowland (ed.), </w:t>
            </w:r>
            <w:r w:rsidRPr="00977717">
              <w:rPr>
                <w:rFonts w:asciiTheme="minorHAnsi" w:eastAsia="Times New Roman" w:hAnsiTheme="minorHAnsi" w:cs="Arial"/>
                <w:i/>
                <w:iCs/>
                <w:color w:val="333333"/>
                <w:lang w:eastAsia="en-AU"/>
              </w:rPr>
              <w:t>Merritt’s Neurology</w:t>
            </w:r>
            <w:r w:rsidRPr="00977717">
              <w:rPr>
                <w:rFonts w:asciiTheme="minorHAnsi" w:eastAsia="Times New Roman" w:hAnsiTheme="minorHAnsi" w:cs="Arial"/>
                <w:color w:val="333333"/>
                <w:lang w:eastAsia="en-AU"/>
              </w:rPr>
              <w:t xml:space="preserve">, 11th </w:t>
            </w:r>
            <w:proofErr w:type="spellStart"/>
            <w:r w:rsidRPr="00977717">
              <w:rPr>
                <w:rFonts w:asciiTheme="minorHAnsi" w:eastAsia="Times New Roman" w:hAnsiTheme="minorHAnsi" w:cs="Arial"/>
                <w:color w:val="333333"/>
                <w:lang w:eastAsia="en-AU"/>
              </w:rPr>
              <w:t>edn</w:t>
            </w:r>
            <w:proofErr w:type="spellEnd"/>
            <w:r w:rsidRPr="00977717">
              <w:rPr>
                <w:rFonts w:asciiTheme="minorHAnsi" w:eastAsia="Times New Roman" w:hAnsiTheme="minorHAnsi" w:cs="Arial"/>
                <w:color w:val="333333"/>
                <w:lang w:eastAsia="en-AU"/>
              </w:rPr>
              <w:t>, Lippincott Williams &amp; Wilkins, Philadelphia, p. 927.</w:t>
            </w:r>
          </w:p>
        </w:tc>
      </w:tr>
      <w:tr w:rsidR="00110EC2" w:rsidRPr="00977717" w14:paraId="60E6B438" w14:textId="77777777" w:rsidTr="00110EC2">
        <w:tc>
          <w:tcPr>
            <w:tcW w:w="15029" w:type="dxa"/>
            <w:shd w:val="clear" w:color="auto" w:fill="DBE5F1" w:themeFill="accent1" w:themeFillTint="33"/>
          </w:tcPr>
          <w:p w14:paraId="17A99C87" w14:textId="2412477A" w:rsidR="00110EC2" w:rsidRPr="00977717" w:rsidRDefault="00110EC2" w:rsidP="00977717">
            <w:pPr>
              <w:spacing w:before="120" w:after="120"/>
              <w:rPr>
                <w:rFonts w:asciiTheme="minorHAnsi" w:hAnsiTheme="minorHAnsi"/>
              </w:rPr>
            </w:pPr>
            <w:r w:rsidRPr="00977717">
              <w:rPr>
                <w:rFonts w:asciiTheme="minorHAnsi" w:hAnsiTheme="minorHAnsi"/>
                <w:b/>
              </w:rPr>
              <w:lastRenderedPageBreak/>
              <w:t>END OF DOCUMENT</w:t>
            </w:r>
          </w:p>
        </w:tc>
      </w:tr>
    </w:tbl>
    <w:p w14:paraId="6727335F" w14:textId="049BE779" w:rsidR="001024B4" w:rsidRPr="001024B4" w:rsidRDefault="001024B4" w:rsidP="00977717">
      <w:pPr>
        <w:ind w:right="90"/>
      </w:pPr>
    </w:p>
    <w:sectPr w:rsidR="001024B4" w:rsidRPr="001024B4" w:rsidSect="00977717">
      <w:footerReference w:type="default" r:id="rId8"/>
      <w:pgSz w:w="16839" w:h="11907" w:orient="landscape"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47A7A" w14:textId="77777777" w:rsidR="00977717" w:rsidRDefault="00977717" w:rsidP="00856708">
      <w:pPr>
        <w:spacing w:after="0"/>
      </w:pPr>
      <w:r>
        <w:separator/>
      </w:r>
    </w:p>
  </w:endnote>
  <w:endnote w:type="continuationSeparator" w:id="0">
    <w:p w14:paraId="654ED734" w14:textId="77777777" w:rsidR="00977717" w:rsidRDefault="00977717"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58F49" w14:textId="77777777" w:rsidR="00977717" w:rsidRPr="00856708" w:rsidRDefault="00977717"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06017F">
      <w:rPr>
        <w:noProof/>
        <w:sz w:val="20"/>
        <w:szCs w:val="20"/>
      </w:rPr>
      <w:t>5</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2360D" w14:textId="77777777" w:rsidR="00977717" w:rsidRDefault="00977717" w:rsidP="00856708">
      <w:pPr>
        <w:spacing w:after="0"/>
      </w:pPr>
      <w:r>
        <w:separator/>
      </w:r>
    </w:p>
  </w:footnote>
  <w:footnote w:type="continuationSeparator" w:id="0">
    <w:p w14:paraId="5EB84A62" w14:textId="77777777" w:rsidR="00977717" w:rsidRDefault="00977717"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3A2298"/>
    <w:multiLevelType w:val="hybridMultilevel"/>
    <w:tmpl w:val="BF886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882520"/>
    <w:multiLevelType w:val="hybridMultilevel"/>
    <w:tmpl w:val="E5707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12602"/>
    <w:multiLevelType w:val="hybridMultilevel"/>
    <w:tmpl w:val="A4E0BB0C"/>
    <w:lvl w:ilvl="0" w:tplc="0C090001">
      <w:start w:val="1"/>
      <w:numFmt w:val="bullet"/>
      <w:lvlText w:val=""/>
      <w:lvlJc w:val="left"/>
      <w:pPr>
        <w:ind w:left="677" w:hanging="360"/>
      </w:pPr>
      <w:rPr>
        <w:rFonts w:ascii="Symbol" w:hAnsi="Symbol"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7">
    <w:nsid w:val="1963238D"/>
    <w:multiLevelType w:val="hybridMultilevel"/>
    <w:tmpl w:val="3E0828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A486B"/>
    <w:multiLevelType w:val="hybridMultilevel"/>
    <w:tmpl w:val="77B0F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EF4699"/>
    <w:multiLevelType w:val="hybridMultilevel"/>
    <w:tmpl w:val="2C58B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790E38"/>
    <w:multiLevelType w:val="hybridMultilevel"/>
    <w:tmpl w:val="4CBC222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E5F5ACC"/>
    <w:multiLevelType w:val="hybridMultilevel"/>
    <w:tmpl w:val="F3A6CF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2"/>
  </w:num>
  <w:num w:numId="4">
    <w:abstractNumId w:val="15"/>
  </w:num>
  <w:num w:numId="5">
    <w:abstractNumId w:val="10"/>
  </w:num>
  <w:num w:numId="6">
    <w:abstractNumId w:val="2"/>
  </w:num>
  <w:num w:numId="7">
    <w:abstractNumId w:val="1"/>
  </w:num>
  <w:num w:numId="8">
    <w:abstractNumId w:val="4"/>
  </w:num>
  <w:num w:numId="9">
    <w:abstractNumId w:val="0"/>
  </w:num>
  <w:num w:numId="10">
    <w:abstractNumId w:val="16"/>
  </w:num>
  <w:num w:numId="11">
    <w:abstractNumId w:val="14"/>
  </w:num>
  <w:num w:numId="12">
    <w:abstractNumId w:val="8"/>
  </w:num>
  <w:num w:numId="13">
    <w:abstractNumId w:val="5"/>
  </w:num>
  <w:num w:numId="14">
    <w:abstractNumId w:val="3"/>
  </w:num>
  <w:num w:numId="15">
    <w:abstractNumId w:val="9"/>
  </w:num>
  <w:num w:numId="16">
    <w:abstractNumId w:val="13"/>
  </w:num>
  <w:num w:numId="17">
    <w:abstractNumId w:val="7"/>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22FE6"/>
    <w:rsid w:val="00036EDC"/>
    <w:rsid w:val="0006017F"/>
    <w:rsid w:val="000C29DD"/>
    <w:rsid w:val="000E0203"/>
    <w:rsid w:val="000E7AF0"/>
    <w:rsid w:val="001024B4"/>
    <w:rsid w:val="00110EC2"/>
    <w:rsid w:val="00127531"/>
    <w:rsid w:val="00165F48"/>
    <w:rsid w:val="0017270F"/>
    <w:rsid w:val="001818E3"/>
    <w:rsid w:val="001849B2"/>
    <w:rsid w:val="001A2460"/>
    <w:rsid w:val="00226561"/>
    <w:rsid w:val="00240825"/>
    <w:rsid w:val="002537F2"/>
    <w:rsid w:val="00273864"/>
    <w:rsid w:val="00275679"/>
    <w:rsid w:val="002936DD"/>
    <w:rsid w:val="00295CD3"/>
    <w:rsid w:val="00305725"/>
    <w:rsid w:val="00331F28"/>
    <w:rsid w:val="003D27F1"/>
    <w:rsid w:val="00460325"/>
    <w:rsid w:val="00463B0C"/>
    <w:rsid w:val="004D4636"/>
    <w:rsid w:val="00531E6D"/>
    <w:rsid w:val="00540020"/>
    <w:rsid w:val="005A28A3"/>
    <w:rsid w:val="005A555C"/>
    <w:rsid w:val="005C5A19"/>
    <w:rsid w:val="005D2C3D"/>
    <w:rsid w:val="006061B0"/>
    <w:rsid w:val="0064406E"/>
    <w:rsid w:val="00644285"/>
    <w:rsid w:val="00651A67"/>
    <w:rsid w:val="00657F36"/>
    <w:rsid w:val="00670D34"/>
    <w:rsid w:val="006747C4"/>
    <w:rsid w:val="00680279"/>
    <w:rsid w:val="006A2E96"/>
    <w:rsid w:val="006A3180"/>
    <w:rsid w:val="006A4A3F"/>
    <w:rsid w:val="00766E9A"/>
    <w:rsid w:val="007B2100"/>
    <w:rsid w:val="00856708"/>
    <w:rsid w:val="00893E0A"/>
    <w:rsid w:val="008945E7"/>
    <w:rsid w:val="00917F75"/>
    <w:rsid w:val="00951B85"/>
    <w:rsid w:val="00977717"/>
    <w:rsid w:val="009C20E6"/>
    <w:rsid w:val="009D569D"/>
    <w:rsid w:val="009D714F"/>
    <w:rsid w:val="009E38CC"/>
    <w:rsid w:val="00A14764"/>
    <w:rsid w:val="00B3726E"/>
    <w:rsid w:val="00C34D27"/>
    <w:rsid w:val="00CD5856"/>
    <w:rsid w:val="00D24193"/>
    <w:rsid w:val="00D341FA"/>
    <w:rsid w:val="00DB1925"/>
    <w:rsid w:val="00DD166F"/>
    <w:rsid w:val="00DF0736"/>
    <w:rsid w:val="00E57C0B"/>
    <w:rsid w:val="00EB78FB"/>
    <w:rsid w:val="00EE6126"/>
    <w:rsid w:val="00F2615C"/>
    <w:rsid w:val="00F35363"/>
    <w:rsid w:val="00FD52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8A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character" w:styleId="Emphasis">
    <w:name w:val="Emphasis"/>
    <w:basedOn w:val="DefaultParagraphFont"/>
    <w:uiPriority w:val="20"/>
    <w:qFormat/>
    <w:rsid w:val="00651A67"/>
    <w:rPr>
      <w:i/>
      <w:iCs/>
    </w:rPr>
  </w:style>
  <w:style w:type="paragraph" w:styleId="NormalWeb">
    <w:name w:val="Normal (Web)"/>
    <w:basedOn w:val="Normal"/>
    <w:uiPriority w:val="99"/>
    <w:semiHidden/>
    <w:unhideWhenUsed/>
    <w:rsid w:val="00651A67"/>
    <w:pPr>
      <w:spacing w:after="150"/>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character" w:styleId="Emphasis">
    <w:name w:val="Emphasis"/>
    <w:basedOn w:val="DefaultParagraphFont"/>
    <w:uiPriority w:val="20"/>
    <w:qFormat/>
    <w:rsid w:val="00651A67"/>
    <w:rPr>
      <w:i/>
      <w:iCs/>
    </w:rPr>
  </w:style>
  <w:style w:type="paragraph" w:styleId="NormalWeb">
    <w:name w:val="Normal (Web)"/>
    <w:basedOn w:val="Normal"/>
    <w:uiPriority w:val="99"/>
    <w:semiHidden/>
    <w:unhideWhenUsed/>
    <w:rsid w:val="00651A67"/>
    <w:pPr>
      <w:spacing w:after="150"/>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Petra</cp:lastModifiedBy>
  <cp:revision>3</cp:revision>
  <dcterms:created xsi:type="dcterms:W3CDTF">2015-11-15T23:22:00Z</dcterms:created>
  <dcterms:modified xsi:type="dcterms:W3CDTF">2015-11-16T01:10:00Z</dcterms:modified>
</cp:coreProperties>
</file>