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ACD6E" w14:textId="77777777" w:rsidR="003E7C6E" w:rsidRDefault="003E7C6E" w:rsidP="003E7C6E">
      <w:pPr>
        <w:pStyle w:val="Heading3"/>
      </w:pPr>
      <w:r w:rsidRPr="00183EC7">
        <w:t xml:space="preserve">Specialist </w:t>
      </w:r>
      <w:r>
        <w:t>Working Group for Immunology</w:t>
      </w:r>
    </w:p>
    <w:p w14:paraId="4FF7A98F" w14:textId="77777777" w:rsidR="003E7C6E" w:rsidRDefault="003E7C6E" w:rsidP="003E7C6E">
      <w:pPr>
        <w:pStyle w:val="Heading4"/>
        <w:rPr>
          <w:i/>
        </w:rPr>
      </w:pPr>
      <w:r>
        <w:t>Pr</w:t>
      </w:r>
      <w:r w:rsidRPr="00183EC7">
        <w:t xml:space="preserve">oposed changes to the </w:t>
      </w:r>
      <w:r w:rsidRPr="00843E7C">
        <w:rPr>
          <w:i/>
        </w:rPr>
        <w:t>Criteria for the clinical use of intravenous immunoglobulin in Australia</w:t>
      </w:r>
      <w:r>
        <w:rPr>
          <w:i/>
        </w:rPr>
        <w:t>, Second Edition</w:t>
      </w:r>
    </w:p>
    <w:p w14:paraId="6E079756" w14:textId="77777777" w:rsidR="00C83B15" w:rsidRDefault="00C83B15"/>
    <w:tbl>
      <w:tblPr>
        <w:tblStyle w:val="TableGrid"/>
        <w:tblW w:w="15310" w:type="dxa"/>
        <w:tblInd w:w="-34" w:type="dxa"/>
        <w:tblLayout w:type="fixed"/>
        <w:tblLook w:val="04A0" w:firstRow="1" w:lastRow="0" w:firstColumn="1" w:lastColumn="0" w:noHBand="0" w:noVBand="1"/>
      </w:tblPr>
      <w:tblGrid>
        <w:gridCol w:w="25"/>
        <w:gridCol w:w="9"/>
        <w:gridCol w:w="1654"/>
        <w:gridCol w:w="1317"/>
        <w:gridCol w:w="1223"/>
        <w:gridCol w:w="2009"/>
        <w:gridCol w:w="1535"/>
        <w:gridCol w:w="1242"/>
        <w:gridCol w:w="1901"/>
        <w:gridCol w:w="4395"/>
      </w:tblGrid>
      <w:tr w:rsidR="003E7C6E" w:rsidRPr="00AE68F2" w14:paraId="33572D33" w14:textId="77777777" w:rsidTr="00E457A0">
        <w:trPr>
          <w:trHeight w:val="699"/>
          <w:tblHeader/>
        </w:trPr>
        <w:tc>
          <w:tcPr>
            <w:tcW w:w="1688" w:type="dxa"/>
            <w:gridSpan w:val="3"/>
            <w:shd w:val="clear" w:color="auto" w:fill="DBE5F1" w:themeFill="accent1" w:themeFillTint="33"/>
          </w:tcPr>
          <w:p w14:paraId="35C5EBBB" w14:textId="57146F29" w:rsidR="003E7C6E" w:rsidRPr="00AE68F2" w:rsidRDefault="003E7C6E" w:rsidP="00D764F3">
            <w:pPr>
              <w:rPr>
                <w:rFonts w:asciiTheme="minorHAnsi" w:hAnsiTheme="minorHAnsi"/>
                <w:b/>
              </w:rPr>
            </w:pPr>
            <w:r w:rsidRPr="00AE68F2">
              <w:rPr>
                <w:rFonts w:asciiTheme="minorHAnsi" w:hAnsiTheme="minorHAnsi"/>
                <w:b/>
              </w:rPr>
              <w:t>ITEM</w:t>
            </w:r>
          </w:p>
        </w:tc>
        <w:tc>
          <w:tcPr>
            <w:tcW w:w="4549" w:type="dxa"/>
            <w:gridSpan w:val="3"/>
            <w:shd w:val="clear" w:color="auto" w:fill="DBE5F1" w:themeFill="accent1" w:themeFillTint="33"/>
          </w:tcPr>
          <w:p w14:paraId="04F14080" w14:textId="14EB07E4" w:rsidR="003E7C6E" w:rsidRPr="00AE68F2" w:rsidRDefault="003E7C6E" w:rsidP="00A23319">
            <w:pPr>
              <w:rPr>
                <w:rFonts w:asciiTheme="minorHAnsi" w:hAnsiTheme="minorHAnsi"/>
                <w:b/>
              </w:rPr>
            </w:pPr>
            <w:r w:rsidRPr="00447869">
              <w:rPr>
                <w:rFonts w:asciiTheme="minorHAnsi" w:hAnsiTheme="minorHAnsi"/>
                <w:b/>
              </w:rPr>
              <w:t>CRITERIA FOR THE CLINICAL USE OF INTRAVENOUS IMMUNOGLOBULIN IN AUSTRALIA, SECOND EDITION (CRITERIA)</w:t>
            </w:r>
          </w:p>
        </w:tc>
        <w:tc>
          <w:tcPr>
            <w:tcW w:w="4678" w:type="dxa"/>
            <w:gridSpan w:val="3"/>
            <w:shd w:val="clear" w:color="auto" w:fill="DBE5F1" w:themeFill="accent1" w:themeFillTint="33"/>
          </w:tcPr>
          <w:p w14:paraId="364420A1" w14:textId="77777777" w:rsidR="003E7C6E" w:rsidRPr="00AE68F2" w:rsidRDefault="003E7C6E" w:rsidP="008A5596">
            <w:pPr>
              <w:rPr>
                <w:rFonts w:asciiTheme="minorHAnsi" w:hAnsiTheme="minorHAnsi"/>
                <w:b/>
              </w:rPr>
            </w:pPr>
            <w:r w:rsidRPr="00AE68F2">
              <w:rPr>
                <w:rFonts w:asciiTheme="minorHAnsi" w:hAnsiTheme="minorHAnsi"/>
                <w:b/>
              </w:rPr>
              <w:t>PROPOSED REVISIONS TO THE CRITERIA (INCLUDING ADAPTATION TO THE IG SYSTEM)</w:t>
            </w:r>
          </w:p>
        </w:tc>
        <w:tc>
          <w:tcPr>
            <w:tcW w:w="4395" w:type="dxa"/>
            <w:shd w:val="clear" w:color="auto" w:fill="DBE5F1" w:themeFill="accent1" w:themeFillTint="33"/>
          </w:tcPr>
          <w:p w14:paraId="6EA487D1" w14:textId="77777777" w:rsidR="003E7C6E" w:rsidRPr="00AE68F2" w:rsidRDefault="003E7C6E" w:rsidP="00933D21">
            <w:pPr>
              <w:ind w:right="-107"/>
              <w:rPr>
                <w:rFonts w:asciiTheme="minorHAnsi" w:eastAsia="Times New Roman" w:hAnsiTheme="minorHAnsi" w:cs="Times New Roman"/>
                <w:b/>
                <w:bCs/>
                <w:lang w:eastAsia="en-AU"/>
              </w:rPr>
            </w:pPr>
            <w:r w:rsidRPr="00AE68F2">
              <w:rPr>
                <w:rFonts w:asciiTheme="minorHAnsi" w:eastAsia="Times New Roman" w:hAnsiTheme="minorHAnsi" w:cs="Times New Roman"/>
                <w:b/>
                <w:bCs/>
                <w:lang w:eastAsia="en-AU"/>
              </w:rPr>
              <w:t>SWG RATIONALE FOR PROPOSED CHANGE</w:t>
            </w:r>
          </w:p>
          <w:p w14:paraId="38FB5A22" w14:textId="77777777" w:rsidR="003E7C6E" w:rsidRPr="00AE68F2" w:rsidRDefault="003E7C6E" w:rsidP="004971CE">
            <w:pPr>
              <w:rPr>
                <w:rFonts w:asciiTheme="minorHAnsi" w:eastAsia="Times New Roman" w:hAnsiTheme="minorHAnsi" w:cs="Times New Roman"/>
                <w:b/>
                <w:bCs/>
                <w:lang w:eastAsia="en-AU"/>
              </w:rPr>
            </w:pPr>
            <w:r w:rsidRPr="00AE68F2">
              <w:rPr>
                <w:rFonts w:asciiTheme="minorHAnsi" w:eastAsia="Times New Roman" w:hAnsiTheme="minorHAnsi" w:cs="Times New Roman"/>
                <w:b/>
                <w:bCs/>
                <w:lang w:eastAsia="en-AU"/>
              </w:rPr>
              <w:t>(A) Administrative)</w:t>
            </w:r>
          </w:p>
          <w:p w14:paraId="1DBD91E9" w14:textId="77777777" w:rsidR="003E7C6E" w:rsidRPr="00AE68F2" w:rsidRDefault="003E7C6E" w:rsidP="004971CE">
            <w:pPr>
              <w:rPr>
                <w:rFonts w:asciiTheme="minorHAnsi" w:eastAsia="Times New Roman" w:hAnsiTheme="minorHAnsi" w:cs="Times New Roman"/>
                <w:b/>
                <w:bCs/>
                <w:lang w:eastAsia="en-AU"/>
              </w:rPr>
            </w:pPr>
            <w:r w:rsidRPr="00AE68F2">
              <w:rPr>
                <w:rFonts w:asciiTheme="minorHAnsi" w:eastAsia="Times New Roman" w:hAnsiTheme="minorHAnsi" w:cs="Times New Roman"/>
                <w:b/>
                <w:bCs/>
                <w:lang w:eastAsia="en-AU"/>
              </w:rPr>
              <w:t xml:space="preserve">(B) Progressive </w:t>
            </w:r>
          </w:p>
          <w:p w14:paraId="0C935D08" w14:textId="77777777" w:rsidR="003E7C6E" w:rsidRPr="00AE68F2" w:rsidRDefault="003E7C6E" w:rsidP="004971CE">
            <w:pPr>
              <w:rPr>
                <w:rFonts w:asciiTheme="minorHAnsi" w:eastAsia="Times New Roman" w:hAnsiTheme="minorHAnsi" w:cs="Times New Roman"/>
                <w:b/>
                <w:bCs/>
                <w:lang w:eastAsia="en-AU"/>
              </w:rPr>
            </w:pPr>
            <w:r w:rsidRPr="00AE68F2">
              <w:rPr>
                <w:rFonts w:asciiTheme="minorHAnsi" w:eastAsia="Times New Roman" w:hAnsiTheme="minorHAnsi" w:cs="Times New Roman"/>
                <w:b/>
                <w:bCs/>
                <w:lang w:eastAsia="en-AU"/>
              </w:rPr>
              <w:t>(C) Programmed</w:t>
            </w:r>
          </w:p>
        </w:tc>
      </w:tr>
      <w:tr w:rsidR="00933D21" w:rsidRPr="00AE68F2" w14:paraId="7D1AD947" w14:textId="77777777" w:rsidTr="00E457A0">
        <w:trPr>
          <w:trHeight w:val="699"/>
        </w:trPr>
        <w:tc>
          <w:tcPr>
            <w:tcW w:w="1688" w:type="dxa"/>
            <w:gridSpan w:val="3"/>
            <w:shd w:val="clear" w:color="auto" w:fill="D9D9D9" w:themeFill="background1" w:themeFillShade="D9"/>
          </w:tcPr>
          <w:p w14:paraId="326DBB58" w14:textId="77777777" w:rsidR="00933D21" w:rsidRPr="00AE68F2" w:rsidRDefault="00933D21" w:rsidP="00D764F3">
            <w:pPr>
              <w:rPr>
                <w:rFonts w:asciiTheme="minorHAnsi" w:hAnsiTheme="minorHAnsi"/>
                <w:b/>
              </w:rPr>
            </w:pPr>
            <w:r w:rsidRPr="00AE68F2">
              <w:rPr>
                <w:rFonts w:asciiTheme="minorHAnsi" w:hAnsiTheme="minorHAnsi"/>
                <w:b/>
              </w:rPr>
              <w:t>Condition Name</w:t>
            </w:r>
          </w:p>
        </w:tc>
        <w:tc>
          <w:tcPr>
            <w:tcW w:w="4549" w:type="dxa"/>
            <w:gridSpan w:val="3"/>
          </w:tcPr>
          <w:p w14:paraId="36B8F330" w14:textId="77777777" w:rsidR="00933D21" w:rsidRPr="00AE68F2" w:rsidRDefault="00933D21" w:rsidP="00A23319">
            <w:pPr>
              <w:rPr>
                <w:rFonts w:asciiTheme="minorHAnsi" w:eastAsia="Times New Roman" w:hAnsiTheme="minorHAnsi" w:cs="Times New Roman"/>
                <w:bCs/>
                <w:lang w:eastAsia="en-AU"/>
              </w:rPr>
            </w:pPr>
            <w:r w:rsidRPr="00AE68F2">
              <w:rPr>
                <w:rFonts w:asciiTheme="minorHAnsi" w:hAnsiTheme="minorHAnsi"/>
                <w:b/>
                <w:bCs/>
              </w:rPr>
              <w:t>Toxic shock syndrome (TSS)</w:t>
            </w:r>
          </w:p>
        </w:tc>
        <w:tc>
          <w:tcPr>
            <w:tcW w:w="4678" w:type="dxa"/>
            <w:gridSpan w:val="3"/>
          </w:tcPr>
          <w:p w14:paraId="70565891" w14:textId="77777777" w:rsidR="00933D21" w:rsidRPr="00AE68F2" w:rsidRDefault="00933D21" w:rsidP="008A5596">
            <w:pPr>
              <w:rPr>
                <w:rFonts w:asciiTheme="minorHAnsi" w:hAnsiTheme="minorHAnsi"/>
              </w:rPr>
            </w:pPr>
            <w:r w:rsidRPr="00AE68F2">
              <w:rPr>
                <w:rFonts w:asciiTheme="minorHAnsi" w:hAnsiTheme="minorHAnsi"/>
                <w:b/>
                <w:bCs/>
              </w:rPr>
              <w:t>Toxic shock syndrome (TSS)</w:t>
            </w:r>
          </w:p>
        </w:tc>
        <w:tc>
          <w:tcPr>
            <w:tcW w:w="4395" w:type="dxa"/>
          </w:tcPr>
          <w:p w14:paraId="3B90B49A" w14:textId="77777777" w:rsidR="00933D21" w:rsidRPr="00AE68F2" w:rsidRDefault="00933D21" w:rsidP="004971CE">
            <w:pPr>
              <w:rPr>
                <w:rFonts w:asciiTheme="minorHAnsi" w:eastAsia="Times New Roman" w:hAnsiTheme="minorHAnsi" w:cs="Times New Roman"/>
                <w:b/>
                <w:bCs/>
                <w:lang w:eastAsia="en-AU"/>
              </w:rPr>
            </w:pPr>
          </w:p>
        </w:tc>
      </w:tr>
      <w:tr w:rsidR="00933D21" w:rsidRPr="00AE68F2" w14:paraId="35052382" w14:textId="77777777" w:rsidTr="00E457A0">
        <w:trPr>
          <w:trHeight w:val="406"/>
        </w:trPr>
        <w:tc>
          <w:tcPr>
            <w:tcW w:w="1688" w:type="dxa"/>
            <w:gridSpan w:val="3"/>
            <w:shd w:val="clear" w:color="auto" w:fill="D9D9D9" w:themeFill="background1" w:themeFillShade="D9"/>
          </w:tcPr>
          <w:p w14:paraId="493E3FB5" w14:textId="77777777" w:rsidR="00933D21" w:rsidRPr="00AE68F2" w:rsidRDefault="00933D21" w:rsidP="00D764F3">
            <w:pPr>
              <w:rPr>
                <w:rFonts w:asciiTheme="minorHAnsi" w:hAnsiTheme="minorHAnsi"/>
                <w:b/>
              </w:rPr>
            </w:pPr>
            <w:r w:rsidRPr="00AE68F2">
              <w:rPr>
                <w:rFonts w:asciiTheme="minorHAnsi" w:hAnsiTheme="minorHAnsi"/>
                <w:b/>
              </w:rPr>
              <w:t>Specialty</w:t>
            </w:r>
          </w:p>
        </w:tc>
        <w:tc>
          <w:tcPr>
            <w:tcW w:w="4549" w:type="dxa"/>
            <w:gridSpan w:val="3"/>
          </w:tcPr>
          <w:p w14:paraId="741ED938" w14:textId="77777777" w:rsidR="00933D21" w:rsidRPr="00AE68F2" w:rsidRDefault="00933D21" w:rsidP="00D764F3">
            <w:pPr>
              <w:rPr>
                <w:rFonts w:asciiTheme="minorHAnsi" w:hAnsiTheme="minorHAnsi"/>
              </w:rPr>
            </w:pPr>
            <w:r w:rsidRPr="00AE68F2">
              <w:rPr>
                <w:rFonts w:asciiTheme="minorHAnsi" w:hAnsiTheme="minorHAnsi"/>
              </w:rPr>
              <w:t>Immunology</w:t>
            </w:r>
          </w:p>
        </w:tc>
        <w:tc>
          <w:tcPr>
            <w:tcW w:w="4678" w:type="dxa"/>
            <w:gridSpan w:val="3"/>
          </w:tcPr>
          <w:p w14:paraId="5E802AB5" w14:textId="52B71A8C" w:rsidR="00933D21" w:rsidRPr="0056145B" w:rsidRDefault="00933D21" w:rsidP="00D764F3">
            <w:pPr>
              <w:rPr>
                <w:rFonts w:asciiTheme="minorHAnsi" w:hAnsiTheme="minorHAnsi"/>
              </w:rPr>
            </w:pPr>
            <w:r w:rsidRPr="0056145B">
              <w:t xml:space="preserve">Intensive </w:t>
            </w:r>
            <w:r>
              <w:t>c</w:t>
            </w:r>
            <w:r w:rsidRPr="0056145B">
              <w:t>are ; Immunology; Infectious diseases</w:t>
            </w:r>
          </w:p>
        </w:tc>
        <w:tc>
          <w:tcPr>
            <w:tcW w:w="4395" w:type="dxa"/>
          </w:tcPr>
          <w:p w14:paraId="75F35B36" w14:textId="77777777" w:rsidR="00933D21" w:rsidRPr="00AE68F2" w:rsidRDefault="00933D21" w:rsidP="00D764F3">
            <w:pPr>
              <w:rPr>
                <w:rFonts w:asciiTheme="minorHAnsi" w:hAnsiTheme="minorHAnsi"/>
              </w:rPr>
            </w:pPr>
            <w:r>
              <w:rPr>
                <w:rFonts w:asciiTheme="minorHAnsi" w:hAnsiTheme="minorHAnsi"/>
              </w:rPr>
              <w:t xml:space="preserve">Relevant treating specialists have been included. </w:t>
            </w:r>
          </w:p>
        </w:tc>
      </w:tr>
      <w:tr w:rsidR="00933D21" w:rsidRPr="00AE68F2" w14:paraId="75D531C5" w14:textId="77777777" w:rsidTr="00E457A0">
        <w:trPr>
          <w:trHeight w:val="417"/>
        </w:trPr>
        <w:tc>
          <w:tcPr>
            <w:tcW w:w="1688" w:type="dxa"/>
            <w:gridSpan w:val="3"/>
            <w:shd w:val="clear" w:color="auto" w:fill="D9D9D9" w:themeFill="background1" w:themeFillShade="D9"/>
          </w:tcPr>
          <w:p w14:paraId="022DCABC" w14:textId="77777777" w:rsidR="00933D21" w:rsidRPr="00AE68F2" w:rsidRDefault="00933D21" w:rsidP="00D764F3">
            <w:pPr>
              <w:rPr>
                <w:rFonts w:asciiTheme="minorHAnsi" w:hAnsiTheme="minorHAnsi"/>
                <w:b/>
              </w:rPr>
            </w:pPr>
            <w:r w:rsidRPr="00AE68F2">
              <w:rPr>
                <w:rFonts w:asciiTheme="minorHAnsi" w:hAnsiTheme="minorHAnsi"/>
                <w:b/>
              </w:rPr>
              <w:t>Chapter</w:t>
            </w:r>
          </w:p>
        </w:tc>
        <w:tc>
          <w:tcPr>
            <w:tcW w:w="4549" w:type="dxa"/>
            <w:gridSpan w:val="3"/>
          </w:tcPr>
          <w:p w14:paraId="31C72DC5" w14:textId="77777777" w:rsidR="00933D21" w:rsidRPr="00AE68F2" w:rsidRDefault="00933D21" w:rsidP="00D764F3">
            <w:pPr>
              <w:rPr>
                <w:rFonts w:asciiTheme="minorHAnsi" w:hAnsiTheme="minorHAnsi"/>
              </w:rPr>
            </w:pPr>
            <w:r>
              <w:rPr>
                <w:rFonts w:asciiTheme="minorHAnsi" w:hAnsiTheme="minorHAnsi"/>
              </w:rPr>
              <w:t>6</w:t>
            </w:r>
          </w:p>
        </w:tc>
        <w:tc>
          <w:tcPr>
            <w:tcW w:w="4678" w:type="dxa"/>
            <w:gridSpan w:val="3"/>
            <w:shd w:val="clear" w:color="auto" w:fill="auto"/>
          </w:tcPr>
          <w:p w14:paraId="41339D22" w14:textId="77777777" w:rsidR="00933D21" w:rsidRPr="00AE68F2" w:rsidRDefault="00933D21" w:rsidP="00D764F3">
            <w:pPr>
              <w:rPr>
                <w:rFonts w:asciiTheme="minorHAnsi" w:hAnsiTheme="minorHAnsi"/>
              </w:rPr>
            </w:pPr>
            <w:r>
              <w:rPr>
                <w:rFonts w:asciiTheme="minorHAnsi" w:hAnsiTheme="minorHAnsi"/>
              </w:rPr>
              <w:t>6</w:t>
            </w:r>
          </w:p>
        </w:tc>
        <w:tc>
          <w:tcPr>
            <w:tcW w:w="4395" w:type="dxa"/>
          </w:tcPr>
          <w:p w14:paraId="74200587" w14:textId="77777777" w:rsidR="00933D21" w:rsidRPr="00AE68F2" w:rsidRDefault="00933D21" w:rsidP="00D764F3">
            <w:pPr>
              <w:rPr>
                <w:rFonts w:asciiTheme="minorHAnsi" w:hAnsiTheme="minorHAnsi"/>
              </w:rPr>
            </w:pPr>
          </w:p>
        </w:tc>
      </w:tr>
      <w:tr w:rsidR="00933D21" w:rsidRPr="00AE68F2" w14:paraId="27E4A038" w14:textId="77777777" w:rsidTr="00E457A0">
        <w:tc>
          <w:tcPr>
            <w:tcW w:w="1688" w:type="dxa"/>
            <w:gridSpan w:val="3"/>
            <w:shd w:val="clear" w:color="auto" w:fill="D9D9D9" w:themeFill="background1" w:themeFillShade="D9"/>
          </w:tcPr>
          <w:p w14:paraId="0EE34E34" w14:textId="77777777" w:rsidR="00933D21" w:rsidRPr="00AE68F2" w:rsidRDefault="00933D21" w:rsidP="00D764F3">
            <w:pPr>
              <w:rPr>
                <w:rFonts w:asciiTheme="minorHAnsi" w:hAnsiTheme="minorHAnsi"/>
                <w:b/>
              </w:rPr>
            </w:pPr>
            <w:r w:rsidRPr="00AE68F2">
              <w:rPr>
                <w:rFonts w:asciiTheme="minorHAnsi" w:hAnsiTheme="minorHAnsi"/>
                <w:b/>
              </w:rPr>
              <w:t>Specific Conditions</w:t>
            </w:r>
          </w:p>
          <w:p w14:paraId="2DA57EF6" w14:textId="77777777" w:rsidR="00933D21" w:rsidRPr="00AE68F2" w:rsidRDefault="00933D21" w:rsidP="00933D21">
            <w:pPr>
              <w:rPr>
                <w:rFonts w:asciiTheme="minorHAnsi" w:hAnsiTheme="minorHAnsi"/>
                <w:b/>
              </w:rPr>
            </w:pPr>
          </w:p>
        </w:tc>
        <w:tc>
          <w:tcPr>
            <w:tcW w:w="4549" w:type="dxa"/>
            <w:gridSpan w:val="3"/>
          </w:tcPr>
          <w:p w14:paraId="410478DC" w14:textId="77777777" w:rsidR="00933D21" w:rsidRPr="00AE68F2" w:rsidRDefault="00933D21" w:rsidP="00A23319">
            <w:pPr>
              <w:rPr>
                <w:rFonts w:asciiTheme="minorHAnsi" w:eastAsia="Times New Roman" w:hAnsiTheme="minorHAnsi" w:cs="Times New Roman"/>
                <w:bCs/>
                <w:lang w:eastAsia="en-AU"/>
              </w:rPr>
            </w:pPr>
          </w:p>
        </w:tc>
        <w:tc>
          <w:tcPr>
            <w:tcW w:w="4678" w:type="dxa"/>
            <w:gridSpan w:val="3"/>
            <w:shd w:val="clear" w:color="auto" w:fill="auto"/>
          </w:tcPr>
          <w:p w14:paraId="639D736D" w14:textId="77777777" w:rsidR="00933D21" w:rsidRPr="0056145B" w:rsidRDefault="00933D21" w:rsidP="001E6F4E">
            <w:pPr>
              <w:rPr>
                <w:rFonts w:asciiTheme="minorHAnsi" w:eastAsiaTheme="minorHAnsi" w:hAnsiTheme="minorHAnsi" w:cs="Lucida Sans"/>
                <w:bCs/>
                <w:lang w:val="en-US"/>
              </w:rPr>
            </w:pPr>
            <w:r w:rsidRPr="0056145B">
              <w:rPr>
                <w:rFonts w:asciiTheme="minorHAnsi" w:eastAsiaTheme="minorHAnsi" w:hAnsiTheme="minorHAnsi" w:cs="Lucida Sans"/>
                <w:bCs/>
                <w:lang w:val="en-US"/>
              </w:rPr>
              <w:t>Streptococcal TSS</w:t>
            </w:r>
          </w:p>
          <w:p w14:paraId="2A61FED5" w14:textId="77777777" w:rsidR="00933D21" w:rsidRPr="00AE68F2" w:rsidRDefault="00933D21" w:rsidP="001E6F4E">
            <w:pPr>
              <w:rPr>
                <w:rFonts w:asciiTheme="minorHAnsi" w:hAnsiTheme="minorHAnsi"/>
              </w:rPr>
            </w:pPr>
            <w:r w:rsidRPr="0056145B">
              <w:rPr>
                <w:rFonts w:asciiTheme="minorHAnsi" w:eastAsiaTheme="minorHAnsi" w:hAnsiTheme="minorHAnsi" w:cs="Lucida Sans"/>
                <w:bCs/>
                <w:lang w:val="en-US"/>
              </w:rPr>
              <w:t>Staphylococcal TSS</w:t>
            </w:r>
          </w:p>
        </w:tc>
        <w:tc>
          <w:tcPr>
            <w:tcW w:w="4395" w:type="dxa"/>
          </w:tcPr>
          <w:p w14:paraId="0C79E9E1" w14:textId="77777777" w:rsidR="00933D21" w:rsidRPr="00AE68F2" w:rsidRDefault="00933D21" w:rsidP="00780598">
            <w:pPr>
              <w:rPr>
                <w:rFonts w:asciiTheme="minorHAnsi" w:eastAsia="Times New Roman" w:hAnsiTheme="minorHAnsi" w:cs="Times New Roman"/>
                <w:bCs/>
                <w:lang w:eastAsia="en-AU"/>
              </w:rPr>
            </w:pPr>
          </w:p>
        </w:tc>
      </w:tr>
      <w:tr w:rsidR="00933D21" w:rsidRPr="00AE68F2" w14:paraId="58DBDB6A" w14:textId="77777777" w:rsidTr="00E457A0">
        <w:trPr>
          <w:trHeight w:val="424"/>
        </w:trPr>
        <w:tc>
          <w:tcPr>
            <w:tcW w:w="1688" w:type="dxa"/>
            <w:gridSpan w:val="3"/>
            <w:shd w:val="clear" w:color="auto" w:fill="D9D9D9" w:themeFill="background1" w:themeFillShade="D9"/>
          </w:tcPr>
          <w:p w14:paraId="08E3417D" w14:textId="77777777" w:rsidR="00933D21" w:rsidRPr="00AE68F2" w:rsidRDefault="00933D21" w:rsidP="00D764F3">
            <w:pPr>
              <w:rPr>
                <w:rFonts w:asciiTheme="minorHAnsi" w:hAnsiTheme="minorHAnsi"/>
                <w:b/>
              </w:rPr>
            </w:pPr>
            <w:r w:rsidRPr="00AE68F2">
              <w:rPr>
                <w:rFonts w:asciiTheme="minorHAnsi" w:hAnsiTheme="minorHAnsi"/>
                <w:b/>
              </w:rPr>
              <w:t>Level of Evidence</w:t>
            </w:r>
          </w:p>
          <w:p w14:paraId="11541448" w14:textId="3E609897" w:rsidR="00933D21" w:rsidRPr="00AE68F2" w:rsidRDefault="00933D21" w:rsidP="00D764F3">
            <w:pPr>
              <w:rPr>
                <w:rFonts w:asciiTheme="minorHAnsi" w:hAnsiTheme="minorHAnsi"/>
              </w:rPr>
            </w:pPr>
            <w:r>
              <w:rPr>
                <w:rFonts w:asciiTheme="minorHAnsi" w:hAnsiTheme="minorHAnsi"/>
              </w:rPr>
              <w:t xml:space="preserve"> </w:t>
            </w:r>
          </w:p>
        </w:tc>
        <w:tc>
          <w:tcPr>
            <w:tcW w:w="4549" w:type="dxa"/>
            <w:gridSpan w:val="3"/>
          </w:tcPr>
          <w:p w14:paraId="619AC6A7" w14:textId="77777777" w:rsidR="00933D21" w:rsidRPr="003F1C34" w:rsidRDefault="00933D21" w:rsidP="00401119">
            <w:pPr>
              <w:rPr>
                <w:rFonts w:asciiTheme="minorHAnsi" w:eastAsia="Times New Roman" w:hAnsiTheme="minorHAnsi" w:cs="Times New Roman"/>
                <w:lang w:eastAsia="en-AU"/>
              </w:rPr>
            </w:pPr>
            <w:r w:rsidRPr="003F1C34">
              <w:rPr>
                <w:rFonts w:asciiTheme="minorHAnsi" w:hAnsiTheme="minorHAnsi"/>
                <w:color w:val="000000"/>
              </w:rPr>
              <w:t>Small case studies only; insufficient data (</w:t>
            </w:r>
            <w:hyperlink r:id="rId12" w:anchor="el-4a" w:history="1">
              <w:r w:rsidRPr="003F1C34">
                <w:rPr>
                  <w:rStyle w:val="Hyperlink"/>
                  <w:rFonts w:asciiTheme="minorHAnsi" w:hAnsiTheme="minorHAnsi"/>
                </w:rPr>
                <w:t>Category 4a</w:t>
              </w:r>
            </w:hyperlink>
            <w:r w:rsidRPr="003F1C34">
              <w:rPr>
                <w:rFonts w:asciiTheme="minorHAnsi" w:hAnsiTheme="minorHAnsi"/>
                <w:color w:val="000000"/>
              </w:rPr>
              <w:t>).</w:t>
            </w:r>
          </w:p>
        </w:tc>
        <w:tc>
          <w:tcPr>
            <w:tcW w:w="4678" w:type="dxa"/>
            <w:gridSpan w:val="3"/>
            <w:shd w:val="clear" w:color="auto" w:fill="auto"/>
          </w:tcPr>
          <w:p w14:paraId="09C3CCDD" w14:textId="77777777" w:rsidR="00933D21" w:rsidRPr="003F1C34" w:rsidRDefault="00933D21" w:rsidP="00D764F3">
            <w:pPr>
              <w:rPr>
                <w:rFonts w:asciiTheme="minorHAnsi" w:hAnsiTheme="minorHAnsi" w:cstheme="minorHAnsi"/>
              </w:rPr>
            </w:pPr>
            <w:r w:rsidRPr="003F1C34">
              <w:rPr>
                <w:rFonts w:asciiTheme="minorHAnsi" w:hAnsiTheme="minorHAnsi"/>
                <w:color w:val="000000"/>
              </w:rPr>
              <w:t>Small case studies only; insufficient data (</w:t>
            </w:r>
            <w:hyperlink r:id="rId13" w:anchor="el-4a" w:history="1">
              <w:r w:rsidRPr="003F1C34">
                <w:rPr>
                  <w:rStyle w:val="Hyperlink"/>
                  <w:rFonts w:asciiTheme="minorHAnsi" w:hAnsiTheme="minorHAnsi"/>
                </w:rPr>
                <w:t>Category 4a</w:t>
              </w:r>
            </w:hyperlink>
            <w:r w:rsidRPr="003F1C34">
              <w:rPr>
                <w:rFonts w:asciiTheme="minorHAnsi" w:hAnsiTheme="minorHAnsi"/>
                <w:color w:val="000000"/>
              </w:rPr>
              <w:t>).</w:t>
            </w:r>
          </w:p>
        </w:tc>
        <w:tc>
          <w:tcPr>
            <w:tcW w:w="4395" w:type="dxa"/>
          </w:tcPr>
          <w:p w14:paraId="3796E5BF" w14:textId="77777777" w:rsidR="00933D21" w:rsidRPr="00AE68F2" w:rsidRDefault="00933D21" w:rsidP="00D764F3">
            <w:pPr>
              <w:rPr>
                <w:rFonts w:asciiTheme="minorHAnsi" w:eastAsia="Times New Roman" w:hAnsiTheme="minorHAnsi" w:cs="Times New Roman"/>
                <w:color w:val="000000"/>
                <w:lang w:eastAsia="en-AU"/>
              </w:rPr>
            </w:pPr>
          </w:p>
        </w:tc>
      </w:tr>
      <w:tr w:rsidR="00933D21" w:rsidRPr="00AE68F2" w14:paraId="7CAB4E25" w14:textId="77777777" w:rsidTr="00E457A0">
        <w:trPr>
          <w:trHeight w:val="984"/>
        </w:trPr>
        <w:tc>
          <w:tcPr>
            <w:tcW w:w="1688" w:type="dxa"/>
            <w:gridSpan w:val="3"/>
            <w:shd w:val="clear" w:color="auto" w:fill="D9D9D9" w:themeFill="background1" w:themeFillShade="D9"/>
          </w:tcPr>
          <w:p w14:paraId="057D4F8C" w14:textId="77777777" w:rsidR="00933D21" w:rsidRPr="00AE68F2" w:rsidRDefault="00933D21" w:rsidP="00D764F3">
            <w:pPr>
              <w:rPr>
                <w:rFonts w:asciiTheme="minorHAnsi" w:hAnsiTheme="minorHAnsi"/>
                <w:b/>
              </w:rPr>
            </w:pPr>
            <w:r w:rsidRPr="00AE68F2">
              <w:rPr>
                <w:rFonts w:asciiTheme="minorHAnsi" w:hAnsiTheme="minorHAnsi"/>
                <w:b/>
              </w:rPr>
              <w:t>Justification for Evidence Category</w:t>
            </w:r>
          </w:p>
          <w:p w14:paraId="33615FC3" w14:textId="6EB19743" w:rsidR="00933D21" w:rsidRPr="00AE68F2" w:rsidRDefault="00933D21" w:rsidP="00D764F3">
            <w:pPr>
              <w:rPr>
                <w:rFonts w:asciiTheme="minorHAnsi" w:hAnsiTheme="minorHAnsi"/>
                <w:b/>
              </w:rPr>
            </w:pPr>
            <w:r>
              <w:rPr>
                <w:rFonts w:asciiTheme="minorHAnsi" w:hAnsiTheme="minorHAnsi"/>
              </w:rPr>
              <w:t xml:space="preserve"> </w:t>
            </w:r>
          </w:p>
        </w:tc>
        <w:tc>
          <w:tcPr>
            <w:tcW w:w="4549" w:type="dxa"/>
            <w:gridSpan w:val="3"/>
          </w:tcPr>
          <w:p w14:paraId="39A394A1" w14:textId="77777777" w:rsidR="00933D21" w:rsidRPr="00AE68F2" w:rsidRDefault="00933D21" w:rsidP="00AE68F2">
            <w:pPr>
              <w:spacing w:after="225" w:line="360" w:lineRule="atLeast"/>
              <w:rPr>
                <w:rFonts w:asciiTheme="minorHAnsi" w:eastAsia="Times New Roman" w:hAnsiTheme="minorHAnsi" w:cs="Times New Roman"/>
                <w:color w:val="000000"/>
                <w:lang w:eastAsia="en-AU"/>
              </w:rPr>
            </w:pPr>
            <w:r w:rsidRPr="00AE68F2">
              <w:rPr>
                <w:rFonts w:asciiTheme="minorHAnsi" w:eastAsia="Times New Roman" w:hAnsiTheme="minorHAnsi" w:cs="Times New Roman"/>
                <w:b/>
                <w:bCs/>
                <w:color w:val="000000"/>
                <w:lang w:eastAsia="en-AU"/>
              </w:rPr>
              <w:t>Streptococcal TSS:</w:t>
            </w:r>
            <w:r w:rsidRPr="00AE68F2">
              <w:rPr>
                <w:rFonts w:asciiTheme="minorHAnsi" w:eastAsia="Times New Roman" w:hAnsiTheme="minorHAnsi" w:cs="Times New Roman"/>
                <w:color w:val="000000"/>
                <w:lang w:eastAsia="en-AU"/>
              </w:rPr>
              <w:t xml:space="preserve"> A small case series (Norrby-Teglund et al 2005), a cohort study (Kaul et al 1999) and an RCT, which was terminated prematurely (Darenberg et al 2003), suggested that IVIg improves outcomes.</w:t>
            </w:r>
          </w:p>
          <w:p w14:paraId="5389C7B1" w14:textId="77777777" w:rsidR="00933D21" w:rsidRPr="00AE68F2" w:rsidRDefault="00933D21" w:rsidP="00AE68F2">
            <w:pPr>
              <w:spacing w:after="225" w:line="360" w:lineRule="atLeast"/>
              <w:rPr>
                <w:rFonts w:asciiTheme="minorHAnsi" w:eastAsia="Times New Roman" w:hAnsiTheme="minorHAnsi" w:cs="Times New Roman"/>
                <w:color w:val="000000"/>
                <w:lang w:eastAsia="en-AU"/>
              </w:rPr>
            </w:pPr>
            <w:r w:rsidRPr="00AE68F2">
              <w:rPr>
                <w:rFonts w:asciiTheme="minorHAnsi" w:eastAsia="Times New Roman" w:hAnsiTheme="minorHAnsi" w:cs="Times New Roman"/>
                <w:b/>
                <w:bCs/>
                <w:color w:val="000000"/>
                <w:lang w:eastAsia="en-AU"/>
              </w:rPr>
              <w:t>Staphylococcal TSS:</w:t>
            </w:r>
            <w:r w:rsidRPr="00AE68F2">
              <w:rPr>
                <w:rFonts w:asciiTheme="minorHAnsi" w:eastAsia="Times New Roman" w:hAnsiTheme="minorHAnsi" w:cs="Times New Roman"/>
                <w:color w:val="000000"/>
                <w:lang w:eastAsia="en-AU"/>
              </w:rPr>
              <w:t xml:space="preserve"> In vitro and animal studies suggested that IVIg is effective in neutralising staphylococcal superantigens. Anecdotal reports refer to the clinical effectiveness of IVIg in staphylococcal TSS.</w:t>
            </w:r>
          </w:p>
          <w:p w14:paraId="67BEBE05" w14:textId="77777777" w:rsidR="00933D21" w:rsidRPr="00AE68F2" w:rsidRDefault="00933D21" w:rsidP="00040E71">
            <w:pPr>
              <w:spacing w:after="225" w:line="360" w:lineRule="atLeast"/>
              <w:rPr>
                <w:rFonts w:asciiTheme="minorHAnsi" w:eastAsia="Times New Roman" w:hAnsiTheme="minorHAnsi" w:cs="Times New Roman"/>
                <w:color w:val="000000"/>
                <w:lang w:eastAsia="en-AU"/>
              </w:rPr>
            </w:pPr>
          </w:p>
        </w:tc>
        <w:tc>
          <w:tcPr>
            <w:tcW w:w="4678" w:type="dxa"/>
            <w:gridSpan w:val="3"/>
            <w:shd w:val="clear" w:color="auto" w:fill="auto"/>
          </w:tcPr>
          <w:p w14:paraId="133D591E" w14:textId="2332072D" w:rsidR="00933D21" w:rsidRPr="001F0B66" w:rsidRDefault="00933D21" w:rsidP="001F0B66">
            <w:pPr>
              <w:spacing w:after="225" w:line="360" w:lineRule="atLeast"/>
              <w:rPr>
                <w:rFonts w:asciiTheme="minorHAnsi" w:eastAsia="Times New Roman" w:hAnsiTheme="minorHAnsi" w:cs="Times New Roman"/>
                <w:color w:val="000000"/>
                <w:lang w:eastAsia="en-AU"/>
              </w:rPr>
            </w:pPr>
            <w:r w:rsidRPr="001F0B66">
              <w:rPr>
                <w:rFonts w:asciiTheme="minorHAnsi" w:eastAsia="Times New Roman" w:hAnsiTheme="minorHAnsi" w:cs="Times New Roman"/>
                <w:b/>
                <w:color w:val="000000"/>
                <w:lang w:eastAsia="en-AU"/>
              </w:rPr>
              <w:t>Streptococcal TSS:</w:t>
            </w:r>
            <w:r w:rsidRPr="001F0B66">
              <w:rPr>
                <w:rFonts w:asciiTheme="minorHAnsi" w:eastAsia="Times New Roman" w:hAnsiTheme="minorHAnsi" w:cs="Times New Roman"/>
                <w:color w:val="000000"/>
                <w:lang w:eastAsia="en-AU"/>
              </w:rPr>
              <w:t xml:space="preserve"> A small case series (Norrby-Teglund et al 2005), a cohort study (Kaul et al 1999), and a randomised controlled trial (RCT)</w:t>
            </w:r>
            <w:r>
              <w:rPr>
                <w:rFonts w:asciiTheme="minorHAnsi" w:eastAsia="Times New Roman" w:hAnsiTheme="minorHAnsi" w:cs="Times New Roman"/>
                <w:color w:val="000000"/>
                <w:lang w:eastAsia="en-AU"/>
              </w:rPr>
              <w:t xml:space="preserve"> that </w:t>
            </w:r>
            <w:r w:rsidRPr="001F0B66">
              <w:rPr>
                <w:rFonts w:asciiTheme="minorHAnsi" w:eastAsia="Times New Roman" w:hAnsiTheme="minorHAnsi" w:cs="Times New Roman"/>
                <w:color w:val="000000"/>
                <w:lang w:eastAsia="en-AU"/>
              </w:rPr>
              <w:t>was terminated prematurely (Darenberg et al 2003), suggested that intravenous immunoglobulin (IVIg) improves outcomes.</w:t>
            </w:r>
          </w:p>
          <w:p w14:paraId="1B8CB52A" w14:textId="33909FF4" w:rsidR="00933D21" w:rsidRPr="00AE68F2" w:rsidRDefault="00933D21" w:rsidP="001F0B66">
            <w:pPr>
              <w:spacing w:after="225" w:line="360" w:lineRule="atLeast"/>
              <w:rPr>
                <w:rFonts w:asciiTheme="minorHAnsi" w:hAnsiTheme="minorHAnsi"/>
                <w:strike/>
              </w:rPr>
            </w:pPr>
            <w:r w:rsidRPr="001F0B66">
              <w:rPr>
                <w:rFonts w:asciiTheme="minorHAnsi" w:eastAsia="Times New Roman" w:hAnsiTheme="minorHAnsi" w:cs="Times New Roman"/>
                <w:b/>
                <w:color w:val="000000"/>
                <w:lang w:eastAsia="en-AU"/>
              </w:rPr>
              <w:t>Staphylococcal TSS:</w:t>
            </w:r>
            <w:r w:rsidRPr="001F0B66">
              <w:rPr>
                <w:rFonts w:asciiTheme="minorHAnsi" w:eastAsia="Times New Roman" w:hAnsiTheme="minorHAnsi" w:cs="Times New Roman"/>
                <w:color w:val="000000"/>
                <w:lang w:eastAsia="en-AU"/>
              </w:rPr>
              <w:t xml:space="preserve"> In vitro and animal studies suggested that IVIg is effective in neutralising staphylococcal superantigens. Anecdotal reports refer to the clinical effectiveness of IVIg in staphylococcal TSS.</w:t>
            </w:r>
          </w:p>
        </w:tc>
        <w:tc>
          <w:tcPr>
            <w:tcW w:w="4395" w:type="dxa"/>
          </w:tcPr>
          <w:p w14:paraId="000EBC97" w14:textId="2137BDFC" w:rsidR="00933D21" w:rsidRPr="00AE68F2" w:rsidRDefault="00933D21" w:rsidP="001E6F4E">
            <w:pPr>
              <w:spacing w:after="240" w:line="20" w:lineRule="atLeast"/>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 xml:space="preserve">Unchanged </w:t>
            </w:r>
          </w:p>
        </w:tc>
      </w:tr>
      <w:tr w:rsidR="00933D21" w:rsidRPr="00AE68F2" w14:paraId="4F3B056A" w14:textId="77777777" w:rsidTr="00E457A0">
        <w:trPr>
          <w:trHeight w:val="984"/>
        </w:trPr>
        <w:tc>
          <w:tcPr>
            <w:tcW w:w="1688" w:type="dxa"/>
            <w:gridSpan w:val="3"/>
            <w:shd w:val="clear" w:color="auto" w:fill="D9D9D9" w:themeFill="background1" w:themeFillShade="D9"/>
          </w:tcPr>
          <w:p w14:paraId="52E1D415" w14:textId="77777777" w:rsidR="00933D21" w:rsidRPr="00AE68F2" w:rsidRDefault="00933D21" w:rsidP="00D764F3">
            <w:pPr>
              <w:rPr>
                <w:rFonts w:asciiTheme="minorHAnsi" w:hAnsiTheme="minorHAnsi"/>
                <w:b/>
              </w:rPr>
            </w:pPr>
            <w:r w:rsidRPr="00AE68F2">
              <w:rPr>
                <w:rFonts w:asciiTheme="minorHAnsi" w:hAnsiTheme="minorHAnsi"/>
                <w:b/>
              </w:rPr>
              <w:lastRenderedPageBreak/>
              <w:t>Description and Diagnostic Criteria</w:t>
            </w:r>
          </w:p>
          <w:p w14:paraId="3C92002C" w14:textId="57E7BC98" w:rsidR="00933D21" w:rsidRPr="00AE68F2" w:rsidRDefault="00933D21" w:rsidP="00933D21">
            <w:pPr>
              <w:rPr>
                <w:rFonts w:asciiTheme="minorHAnsi" w:hAnsiTheme="minorHAnsi"/>
                <w:b/>
              </w:rPr>
            </w:pPr>
          </w:p>
        </w:tc>
        <w:tc>
          <w:tcPr>
            <w:tcW w:w="4549" w:type="dxa"/>
            <w:gridSpan w:val="3"/>
          </w:tcPr>
          <w:p w14:paraId="481D69F5" w14:textId="77777777" w:rsidR="00933D21" w:rsidRPr="00AE68F2" w:rsidRDefault="00933D21" w:rsidP="00933D21">
            <w:pPr>
              <w:spacing w:after="225" w:line="276" w:lineRule="auto"/>
              <w:rPr>
                <w:rFonts w:asciiTheme="minorHAnsi" w:eastAsia="Times New Roman" w:hAnsiTheme="minorHAnsi" w:cs="Times New Roman"/>
                <w:color w:val="000000"/>
                <w:lang w:eastAsia="en-AU"/>
              </w:rPr>
            </w:pPr>
            <w:r w:rsidRPr="00AE68F2">
              <w:rPr>
                <w:rFonts w:asciiTheme="minorHAnsi" w:eastAsia="Times New Roman" w:hAnsiTheme="minorHAnsi" w:cs="Times New Roman"/>
                <w:color w:val="000000"/>
                <w:lang w:eastAsia="en-AU"/>
              </w:rPr>
              <w:t>TSS is a life-threatening illness characterised by hypotension and multi-organ failure. It may be caused by Staphylococcus aureus (rarely isolated) or Streptococcus pyogenes that produce and release superantigenic exotoxins. The exotoxins activate T-cells on a large scale resulting in a massive release of inflammatory cytokines.</w:t>
            </w:r>
          </w:p>
          <w:p w14:paraId="2B76AAE8" w14:textId="77777777" w:rsidR="00933D21" w:rsidRPr="00AE68F2" w:rsidRDefault="00933D21" w:rsidP="00933D21">
            <w:pPr>
              <w:spacing w:after="225" w:line="276" w:lineRule="auto"/>
              <w:rPr>
                <w:rFonts w:asciiTheme="minorHAnsi" w:eastAsia="Times New Roman" w:hAnsiTheme="minorHAnsi" w:cs="Times New Roman"/>
                <w:color w:val="000000"/>
                <w:lang w:eastAsia="en-AU"/>
              </w:rPr>
            </w:pPr>
            <w:r w:rsidRPr="00AE68F2">
              <w:rPr>
                <w:rFonts w:asciiTheme="minorHAnsi" w:eastAsia="Times New Roman" w:hAnsiTheme="minorHAnsi" w:cs="Times New Roman"/>
                <w:b/>
                <w:bCs/>
                <w:color w:val="000000"/>
                <w:lang w:eastAsia="en-AU"/>
              </w:rPr>
              <w:t>Streptococcal TSS</w:t>
            </w:r>
            <w:r w:rsidRPr="00AE68F2">
              <w:rPr>
                <w:rFonts w:asciiTheme="minorHAnsi" w:eastAsia="Times New Roman" w:hAnsiTheme="minorHAnsi" w:cs="Times New Roman"/>
                <w:color w:val="000000"/>
                <w:lang w:eastAsia="en-AU"/>
              </w:rPr>
              <w:t xml:space="preserve"> is defined by:</w:t>
            </w:r>
          </w:p>
          <w:p w14:paraId="02874407" w14:textId="77777777" w:rsidR="00933D21" w:rsidRPr="00AE68F2" w:rsidRDefault="00933D21" w:rsidP="00933D21">
            <w:pPr>
              <w:spacing w:after="225" w:line="276" w:lineRule="auto"/>
              <w:rPr>
                <w:rFonts w:asciiTheme="minorHAnsi" w:eastAsia="Times New Roman" w:hAnsiTheme="minorHAnsi" w:cs="Times New Roman"/>
                <w:color w:val="000000"/>
                <w:lang w:eastAsia="en-AU"/>
              </w:rPr>
            </w:pPr>
            <w:r w:rsidRPr="00AE68F2">
              <w:rPr>
                <w:rFonts w:asciiTheme="minorHAnsi" w:eastAsia="Times New Roman" w:hAnsiTheme="minorHAnsi" w:cs="Times New Roman"/>
                <w:color w:val="000000"/>
                <w:lang w:eastAsia="en-AU"/>
              </w:rPr>
              <w:t>I Group A Streptococci (S. pyogenes) isolated from:</w:t>
            </w:r>
          </w:p>
          <w:p w14:paraId="1A49676F" w14:textId="77777777" w:rsidR="00933D21" w:rsidRPr="00AE68F2" w:rsidRDefault="00933D21" w:rsidP="00933D21">
            <w:pPr>
              <w:numPr>
                <w:ilvl w:val="0"/>
                <w:numId w:val="2"/>
              </w:numPr>
              <w:spacing w:before="100" w:beforeAutospacing="1" w:after="150" w:line="276" w:lineRule="auto"/>
              <w:rPr>
                <w:rFonts w:asciiTheme="minorHAnsi" w:eastAsia="Times New Roman" w:hAnsiTheme="minorHAnsi" w:cs="Times New Roman"/>
                <w:color w:val="000000"/>
                <w:lang w:eastAsia="en-AU"/>
              </w:rPr>
            </w:pPr>
            <w:r w:rsidRPr="00AE68F2">
              <w:rPr>
                <w:rFonts w:asciiTheme="minorHAnsi" w:eastAsia="Times New Roman" w:hAnsiTheme="minorHAnsi" w:cs="Times New Roman"/>
                <w:color w:val="000000"/>
                <w:lang w:eastAsia="en-AU"/>
              </w:rPr>
              <w:t xml:space="preserve">(IA) a normally sterile site (e.g. blood, cerebrospinal fluid, pleural or peritoneal fluid, tissue biopsy, surgical wound); or </w:t>
            </w:r>
          </w:p>
          <w:p w14:paraId="0D11CB39" w14:textId="77777777" w:rsidR="00933D21" w:rsidRPr="00AE68F2" w:rsidRDefault="00933D21" w:rsidP="00933D21">
            <w:pPr>
              <w:numPr>
                <w:ilvl w:val="0"/>
                <w:numId w:val="2"/>
              </w:numPr>
              <w:spacing w:before="100" w:beforeAutospacing="1" w:after="150" w:line="276" w:lineRule="auto"/>
              <w:rPr>
                <w:rFonts w:asciiTheme="minorHAnsi" w:eastAsia="Times New Roman" w:hAnsiTheme="minorHAnsi" w:cs="Times New Roman"/>
                <w:color w:val="000000"/>
                <w:lang w:eastAsia="en-AU"/>
              </w:rPr>
            </w:pPr>
            <w:r w:rsidRPr="00AE68F2">
              <w:rPr>
                <w:rFonts w:asciiTheme="minorHAnsi" w:eastAsia="Times New Roman" w:hAnsiTheme="minorHAnsi" w:cs="Times New Roman"/>
                <w:color w:val="000000"/>
                <w:lang w:eastAsia="en-AU"/>
              </w:rPr>
              <w:t>(IB) a non-sterile site (e.g. throat, sputum, vagina, superficial skin lesion).</w:t>
            </w:r>
          </w:p>
          <w:p w14:paraId="7EADEF2B" w14:textId="77777777" w:rsidR="00933D21" w:rsidRPr="00AE68F2" w:rsidRDefault="00933D21" w:rsidP="00933D21">
            <w:pPr>
              <w:spacing w:after="225" w:line="276" w:lineRule="auto"/>
              <w:rPr>
                <w:rFonts w:asciiTheme="minorHAnsi" w:eastAsia="Times New Roman" w:hAnsiTheme="minorHAnsi" w:cs="Times New Roman"/>
                <w:color w:val="000000"/>
                <w:lang w:eastAsia="en-AU"/>
              </w:rPr>
            </w:pPr>
            <w:r w:rsidRPr="00AE68F2">
              <w:rPr>
                <w:rFonts w:asciiTheme="minorHAnsi" w:eastAsia="Times New Roman" w:hAnsiTheme="minorHAnsi" w:cs="Times New Roman"/>
                <w:color w:val="000000"/>
                <w:lang w:eastAsia="en-AU"/>
              </w:rPr>
              <w:t>IIA. Hypotension: systolic blood pressure = 90 mmHg in adults or in the 5th percentile for age in children; and</w:t>
            </w:r>
          </w:p>
          <w:p w14:paraId="71BD3DED" w14:textId="77777777" w:rsidR="00933D21" w:rsidRPr="00AE68F2" w:rsidRDefault="00933D21" w:rsidP="00933D21">
            <w:pPr>
              <w:spacing w:after="225" w:line="276" w:lineRule="auto"/>
              <w:rPr>
                <w:rFonts w:asciiTheme="minorHAnsi" w:eastAsia="Times New Roman" w:hAnsiTheme="minorHAnsi" w:cs="Times New Roman"/>
                <w:color w:val="000000"/>
                <w:lang w:eastAsia="en-AU"/>
              </w:rPr>
            </w:pPr>
            <w:r w:rsidRPr="00AE68F2">
              <w:rPr>
                <w:rFonts w:asciiTheme="minorHAnsi" w:eastAsia="Times New Roman" w:hAnsiTheme="minorHAnsi" w:cs="Times New Roman"/>
                <w:color w:val="000000"/>
                <w:lang w:eastAsia="en-AU"/>
              </w:rPr>
              <w:t>IIB. Two or more of the following:</w:t>
            </w:r>
          </w:p>
          <w:p w14:paraId="03FDB04D" w14:textId="77777777" w:rsidR="00933D21" w:rsidRPr="00AE68F2" w:rsidRDefault="00933D21" w:rsidP="00933D21">
            <w:pPr>
              <w:numPr>
                <w:ilvl w:val="0"/>
                <w:numId w:val="3"/>
              </w:numPr>
              <w:spacing w:before="100" w:beforeAutospacing="1" w:after="150" w:line="276" w:lineRule="auto"/>
              <w:rPr>
                <w:rFonts w:asciiTheme="minorHAnsi" w:eastAsia="Times New Roman" w:hAnsiTheme="minorHAnsi" w:cs="Times New Roman"/>
                <w:color w:val="000000"/>
                <w:lang w:eastAsia="en-AU"/>
              </w:rPr>
            </w:pPr>
            <w:r w:rsidRPr="00AE68F2">
              <w:rPr>
                <w:rFonts w:asciiTheme="minorHAnsi" w:eastAsia="Times New Roman" w:hAnsiTheme="minorHAnsi" w:cs="Times New Roman"/>
                <w:color w:val="000000"/>
                <w:lang w:eastAsia="en-AU"/>
              </w:rPr>
              <w:t xml:space="preserve">Renal impairment: serum creatinine for adults at least twice the upper limit of normal for age; in patients with existing renal disease, elevation over baseline by </w:t>
            </w:r>
            <w:r w:rsidRPr="00AE68F2">
              <w:rPr>
                <w:rFonts w:asciiTheme="minorHAnsi" w:eastAsia="Times New Roman" w:hAnsiTheme="minorHAnsi" w:cs="Times New Roman"/>
                <w:color w:val="000000"/>
                <w:lang w:eastAsia="en-AU"/>
              </w:rPr>
              <w:lastRenderedPageBreak/>
              <w:t xml:space="preserve">a factor of at least 2; </w:t>
            </w:r>
          </w:p>
          <w:p w14:paraId="36612F8C" w14:textId="77777777" w:rsidR="00933D21" w:rsidRPr="00AE68F2" w:rsidRDefault="00933D21" w:rsidP="00933D21">
            <w:pPr>
              <w:numPr>
                <w:ilvl w:val="0"/>
                <w:numId w:val="3"/>
              </w:numPr>
              <w:spacing w:before="100" w:beforeAutospacing="1" w:after="150" w:line="276" w:lineRule="auto"/>
              <w:rPr>
                <w:rFonts w:asciiTheme="minorHAnsi" w:eastAsia="Times New Roman" w:hAnsiTheme="minorHAnsi" w:cs="Times New Roman"/>
                <w:color w:val="000000"/>
                <w:lang w:eastAsia="en-AU"/>
              </w:rPr>
            </w:pPr>
            <w:r w:rsidRPr="00AE68F2">
              <w:rPr>
                <w:rFonts w:asciiTheme="minorHAnsi" w:eastAsia="Times New Roman" w:hAnsiTheme="minorHAnsi" w:cs="Times New Roman"/>
                <w:color w:val="000000"/>
                <w:lang w:eastAsia="en-AU"/>
              </w:rPr>
              <w:t>Coagulopathy: platelet count of ≤100x10</w:t>
            </w:r>
            <w:r w:rsidRPr="00AE68F2">
              <w:rPr>
                <w:rFonts w:asciiTheme="minorHAnsi" w:eastAsia="Times New Roman" w:hAnsiTheme="minorHAnsi" w:cs="Times New Roman"/>
                <w:color w:val="000000"/>
                <w:vertAlign w:val="superscript"/>
                <w:lang w:eastAsia="en-AU"/>
              </w:rPr>
              <w:t>9</w:t>
            </w:r>
            <w:r w:rsidRPr="00AE68F2">
              <w:rPr>
                <w:rFonts w:asciiTheme="minorHAnsi" w:eastAsia="Times New Roman" w:hAnsiTheme="minorHAnsi" w:cs="Times New Roman"/>
                <w:color w:val="000000"/>
                <w:lang w:eastAsia="en-AU"/>
              </w:rPr>
              <w:t xml:space="preserve">/L or disseminated intravascular coagulation, defined by prolonged clotting times, low fibrinogen level, and the presence of fibrin degradation products; </w:t>
            </w:r>
          </w:p>
          <w:p w14:paraId="4969E2D4" w14:textId="77777777" w:rsidR="00933D21" w:rsidRPr="00AE68F2" w:rsidRDefault="00933D21" w:rsidP="00933D21">
            <w:pPr>
              <w:numPr>
                <w:ilvl w:val="0"/>
                <w:numId w:val="3"/>
              </w:numPr>
              <w:spacing w:before="100" w:beforeAutospacing="1" w:after="150" w:line="276" w:lineRule="auto"/>
              <w:rPr>
                <w:rFonts w:asciiTheme="minorHAnsi" w:eastAsia="Times New Roman" w:hAnsiTheme="minorHAnsi" w:cs="Times New Roman"/>
                <w:color w:val="000000"/>
                <w:lang w:eastAsia="en-AU"/>
              </w:rPr>
            </w:pPr>
            <w:r w:rsidRPr="00AE68F2">
              <w:rPr>
                <w:rFonts w:asciiTheme="minorHAnsi" w:eastAsia="Times New Roman" w:hAnsiTheme="minorHAnsi" w:cs="Times New Roman"/>
                <w:color w:val="000000"/>
                <w:lang w:eastAsia="en-AU"/>
              </w:rPr>
              <w:t xml:space="preserve">Liver involvement: alanine aminotransferase (ALT), aspartate aminotransferase (AST), or total bilirubin level at least twice the upper limit of normal for age; in patients with existing liver disease, elevation over baseline by a factor of 2; </w:t>
            </w:r>
          </w:p>
          <w:p w14:paraId="7E2FB81A" w14:textId="77777777" w:rsidR="00933D21" w:rsidRPr="00AE68F2" w:rsidRDefault="00933D21" w:rsidP="00933D21">
            <w:pPr>
              <w:numPr>
                <w:ilvl w:val="0"/>
                <w:numId w:val="3"/>
              </w:numPr>
              <w:spacing w:before="100" w:beforeAutospacing="1" w:after="150" w:line="276" w:lineRule="auto"/>
              <w:rPr>
                <w:rFonts w:asciiTheme="minorHAnsi" w:eastAsia="Times New Roman" w:hAnsiTheme="minorHAnsi" w:cs="Times New Roman"/>
                <w:color w:val="000000"/>
                <w:lang w:eastAsia="en-AU"/>
              </w:rPr>
            </w:pPr>
            <w:r w:rsidRPr="00AE68F2">
              <w:rPr>
                <w:rFonts w:asciiTheme="minorHAnsi" w:eastAsia="Times New Roman" w:hAnsiTheme="minorHAnsi" w:cs="Times New Roman"/>
                <w:color w:val="000000"/>
                <w:lang w:eastAsia="en-AU"/>
              </w:rPr>
              <w:t xml:space="preserve">Adult respiratory distress syndrome, defined by acute onset of diffuse pulmonary infiltrates and hypoxaemia in the absence of cardiac failure; or evidence of diffuse capillary leak manifested by acute onset or generalised oedema; or pleural or peritoneal effusions with hypoalbuminaemia; </w:t>
            </w:r>
          </w:p>
          <w:p w14:paraId="07B6BC87" w14:textId="77777777" w:rsidR="00933D21" w:rsidRPr="00AE68F2" w:rsidRDefault="00933D21" w:rsidP="00933D21">
            <w:pPr>
              <w:numPr>
                <w:ilvl w:val="0"/>
                <w:numId w:val="3"/>
              </w:numPr>
              <w:spacing w:before="100" w:beforeAutospacing="1" w:after="150" w:line="276" w:lineRule="auto"/>
              <w:rPr>
                <w:rFonts w:asciiTheme="minorHAnsi" w:eastAsia="Times New Roman" w:hAnsiTheme="minorHAnsi" w:cs="Times New Roman"/>
                <w:color w:val="000000"/>
                <w:lang w:eastAsia="en-AU"/>
              </w:rPr>
            </w:pPr>
            <w:r w:rsidRPr="00AE68F2">
              <w:rPr>
                <w:rFonts w:asciiTheme="minorHAnsi" w:eastAsia="Times New Roman" w:hAnsiTheme="minorHAnsi" w:cs="Times New Roman"/>
                <w:color w:val="000000"/>
                <w:lang w:eastAsia="en-AU"/>
              </w:rPr>
              <w:t xml:space="preserve">Generalised erythematous macular rash that may desquamate; </w:t>
            </w:r>
          </w:p>
          <w:p w14:paraId="086B3CEC" w14:textId="77777777" w:rsidR="00933D21" w:rsidRPr="00AE68F2" w:rsidRDefault="00933D21" w:rsidP="00933D21">
            <w:pPr>
              <w:numPr>
                <w:ilvl w:val="0"/>
                <w:numId w:val="3"/>
              </w:numPr>
              <w:spacing w:before="100" w:beforeAutospacing="1" w:after="150" w:line="276" w:lineRule="auto"/>
              <w:rPr>
                <w:rFonts w:asciiTheme="minorHAnsi" w:eastAsia="Times New Roman" w:hAnsiTheme="minorHAnsi" w:cs="Times New Roman"/>
                <w:color w:val="000000"/>
                <w:lang w:eastAsia="en-AU"/>
              </w:rPr>
            </w:pPr>
            <w:r w:rsidRPr="00AE68F2">
              <w:rPr>
                <w:rFonts w:asciiTheme="minorHAnsi" w:eastAsia="Times New Roman" w:hAnsiTheme="minorHAnsi" w:cs="Times New Roman"/>
                <w:color w:val="000000"/>
                <w:lang w:eastAsia="en-AU"/>
              </w:rPr>
              <w:t xml:space="preserve">Soft tissue necrosis, including necrotising fasciitis or myositis; or </w:t>
            </w:r>
            <w:r w:rsidRPr="00AE68F2">
              <w:rPr>
                <w:rFonts w:asciiTheme="minorHAnsi" w:eastAsia="Times New Roman" w:hAnsiTheme="minorHAnsi" w:cs="Times New Roman"/>
                <w:color w:val="000000"/>
                <w:lang w:eastAsia="en-AU"/>
              </w:rPr>
              <w:lastRenderedPageBreak/>
              <w:t>gangrene.</w:t>
            </w:r>
          </w:p>
          <w:p w14:paraId="150CCDDA" w14:textId="77777777" w:rsidR="00933D21" w:rsidRPr="00AE68F2" w:rsidRDefault="00933D21" w:rsidP="00933D21">
            <w:pPr>
              <w:spacing w:after="225" w:line="276" w:lineRule="auto"/>
              <w:rPr>
                <w:rFonts w:asciiTheme="minorHAnsi" w:eastAsia="Times New Roman" w:hAnsiTheme="minorHAnsi" w:cs="Times New Roman"/>
                <w:color w:val="000000"/>
                <w:lang w:eastAsia="en-AU"/>
              </w:rPr>
            </w:pPr>
            <w:r w:rsidRPr="00AE68F2">
              <w:rPr>
                <w:rFonts w:asciiTheme="minorHAnsi" w:eastAsia="Times New Roman" w:hAnsiTheme="minorHAnsi" w:cs="Times New Roman"/>
                <w:color w:val="000000"/>
                <w:lang w:eastAsia="en-AU"/>
              </w:rPr>
              <w:t xml:space="preserve">A </w:t>
            </w:r>
            <w:r w:rsidRPr="00AE68F2">
              <w:rPr>
                <w:rFonts w:asciiTheme="minorHAnsi" w:eastAsia="Times New Roman" w:hAnsiTheme="minorHAnsi" w:cs="Times New Roman"/>
                <w:i/>
                <w:iCs/>
                <w:color w:val="000000"/>
                <w:lang w:eastAsia="en-AU"/>
              </w:rPr>
              <w:t>definite</w:t>
            </w:r>
            <w:r w:rsidRPr="00AE68F2">
              <w:rPr>
                <w:rFonts w:asciiTheme="minorHAnsi" w:eastAsia="Times New Roman" w:hAnsiTheme="minorHAnsi" w:cs="Times New Roman"/>
                <w:color w:val="000000"/>
                <w:lang w:eastAsia="en-AU"/>
              </w:rPr>
              <w:t xml:space="preserve"> case is an illness fulfilling criteria IA and II (A and B).</w:t>
            </w:r>
          </w:p>
          <w:p w14:paraId="2741ECCD" w14:textId="77777777" w:rsidR="00933D21" w:rsidRPr="00AE68F2" w:rsidRDefault="00933D21" w:rsidP="00933D21">
            <w:pPr>
              <w:spacing w:after="225" w:line="276" w:lineRule="auto"/>
              <w:rPr>
                <w:rFonts w:asciiTheme="minorHAnsi" w:eastAsia="Times New Roman" w:hAnsiTheme="minorHAnsi" w:cs="Times New Roman"/>
                <w:color w:val="000000"/>
                <w:lang w:eastAsia="en-AU"/>
              </w:rPr>
            </w:pPr>
            <w:r w:rsidRPr="00AE68F2">
              <w:rPr>
                <w:rFonts w:asciiTheme="minorHAnsi" w:eastAsia="Times New Roman" w:hAnsiTheme="minorHAnsi" w:cs="Times New Roman"/>
                <w:color w:val="000000"/>
                <w:lang w:eastAsia="en-AU"/>
              </w:rPr>
              <w:t xml:space="preserve">A </w:t>
            </w:r>
            <w:r w:rsidRPr="00AE68F2">
              <w:rPr>
                <w:rFonts w:asciiTheme="minorHAnsi" w:eastAsia="Times New Roman" w:hAnsiTheme="minorHAnsi" w:cs="Times New Roman"/>
                <w:i/>
                <w:iCs/>
                <w:color w:val="000000"/>
                <w:lang w:eastAsia="en-AU"/>
              </w:rPr>
              <w:t>probable</w:t>
            </w:r>
            <w:r w:rsidRPr="00AE68F2">
              <w:rPr>
                <w:rFonts w:asciiTheme="minorHAnsi" w:eastAsia="Times New Roman" w:hAnsiTheme="minorHAnsi" w:cs="Times New Roman"/>
                <w:color w:val="000000"/>
                <w:lang w:eastAsia="en-AU"/>
              </w:rPr>
              <w:t xml:space="preserve"> case is an illness fulfilling criteria IB and II (A and B) where no other aetiology is identified.</w:t>
            </w:r>
          </w:p>
          <w:p w14:paraId="27264EB0" w14:textId="77777777" w:rsidR="00933D21" w:rsidRPr="00AE68F2" w:rsidRDefault="00933D21" w:rsidP="00933D21">
            <w:pPr>
              <w:spacing w:after="225" w:line="276" w:lineRule="auto"/>
              <w:rPr>
                <w:rFonts w:asciiTheme="minorHAnsi" w:eastAsia="Times New Roman" w:hAnsiTheme="minorHAnsi" w:cs="Times New Roman"/>
                <w:color w:val="000000"/>
                <w:lang w:eastAsia="en-AU"/>
              </w:rPr>
            </w:pPr>
            <w:r w:rsidRPr="00AE68F2">
              <w:rPr>
                <w:rFonts w:asciiTheme="minorHAnsi" w:eastAsia="Times New Roman" w:hAnsiTheme="minorHAnsi" w:cs="Times New Roman"/>
                <w:color w:val="000000"/>
                <w:lang w:eastAsia="en-AU"/>
              </w:rPr>
              <w:t>(Working Group on Severe Streptococcal Infections 1993).</w:t>
            </w:r>
          </w:p>
          <w:p w14:paraId="03A58417" w14:textId="77777777" w:rsidR="00933D21" w:rsidRPr="00AE68F2" w:rsidRDefault="00933D21" w:rsidP="00933D21">
            <w:pPr>
              <w:spacing w:after="225" w:line="276" w:lineRule="auto"/>
              <w:rPr>
                <w:rFonts w:asciiTheme="minorHAnsi" w:eastAsia="Times New Roman" w:hAnsiTheme="minorHAnsi" w:cs="Times New Roman"/>
                <w:color w:val="000000"/>
                <w:lang w:eastAsia="en-AU"/>
              </w:rPr>
            </w:pPr>
            <w:r w:rsidRPr="00AE68F2">
              <w:rPr>
                <w:rFonts w:asciiTheme="minorHAnsi" w:eastAsia="Times New Roman" w:hAnsiTheme="minorHAnsi" w:cs="Times New Roman"/>
                <w:b/>
                <w:bCs/>
                <w:color w:val="000000"/>
                <w:lang w:eastAsia="en-AU"/>
              </w:rPr>
              <w:t>Staphylococcal TSS</w:t>
            </w:r>
            <w:r w:rsidRPr="00AE68F2">
              <w:rPr>
                <w:rFonts w:asciiTheme="minorHAnsi" w:eastAsia="Times New Roman" w:hAnsiTheme="minorHAnsi" w:cs="Times New Roman"/>
                <w:color w:val="000000"/>
                <w:lang w:eastAsia="en-AU"/>
              </w:rPr>
              <w:t xml:space="preserve"> is defined by:</w:t>
            </w:r>
          </w:p>
          <w:p w14:paraId="7FC92B23" w14:textId="77777777" w:rsidR="00933D21" w:rsidRPr="00AE68F2" w:rsidRDefault="00933D21" w:rsidP="00933D21">
            <w:pPr>
              <w:numPr>
                <w:ilvl w:val="0"/>
                <w:numId w:val="4"/>
              </w:numPr>
              <w:spacing w:before="100" w:beforeAutospacing="1" w:after="150" w:line="276" w:lineRule="auto"/>
              <w:rPr>
                <w:rFonts w:asciiTheme="minorHAnsi" w:eastAsia="Times New Roman" w:hAnsiTheme="minorHAnsi" w:cs="Times New Roman"/>
                <w:color w:val="000000"/>
                <w:lang w:eastAsia="en-AU"/>
              </w:rPr>
            </w:pPr>
            <w:r w:rsidRPr="00AE68F2">
              <w:rPr>
                <w:rFonts w:asciiTheme="minorHAnsi" w:eastAsia="Times New Roman" w:hAnsiTheme="minorHAnsi" w:cs="Times New Roman"/>
                <w:color w:val="000000"/>
                <w:lang w:eastAsia="en-AU"/>
              </w:rPr>
              <w:t xml:space="preserve">Fever: temperature ≥38.9°C; </w:t>
            </w:r>
          </w:p>
          <w:p w14:paraId="6388D42D" w14:textId="77777777" w:rsidR="00933D21" w:rsidRPr="00AE68F2" w:rsidRDefault="00933D21" w:rsidP="00933D21">
            <w:pPr>
              <w:numPr>
                <w:ilvl w:val="0"/>
                <w:numId w:val="4"/>
              </w:numPr>
              <w:spacing w:before="100" w:beforeAutospacing="1" w:after="150" w:line="276" w:lineRule="auto"/>
              <w:rPr>
                <w:rFonts w:asciiTheme="minorHAnsi" w:eastAsia="Times New Roman" w:hAnsiTheme="minorHAnsi" w:cs="Times New Roman"/>
                <w:color w:val="000000"/>
                <w:lang w:eastAsia="en-AU"/>
              </w:rPr>
            </w:pPr>
            <w:r w:rsidRPr="00AE68F2">
              <w:rPr>
                <w:rFonts w:asciiTheme="minorHAnsi" w:eastAsia="Times New Roman" w:hAnsiTheme="minorHAnsi" w:cs="Times New Roman"/>
                <w:color w:val="000000"/>
                <w:lang w:eastAsia="en-AU"/>
              </w:rPr>
              <w:t xml:space="preserve">Hypotension: systolic blood pressure ≤90 mmHg in adults or in the 5th percentile for age in children; </w:t>
            </w:r>
          </w:p>
          <w:p w14:paraId="1340A2EF" w14:textId="77777777" w:rsidR="00933D21" w:rsidRPr="00AE68F2" w:rsidRDefault="00933D21" w:rsidP="00933D21">
            <w:pPr>
              <w:numPr>
                <w:ilvl w:val="0"/>
                <w:numId w:val="4"/>
              </w:numPr>
              <w:spacing w:before="100" w:beforeAutospacing="1" w:after="150" w:line="276" w:lineRule="auto"/>
              <w:rPr>
                <w:rFonts w:asciiTheme="minorHAnsi" w:eastAsia="Times New Roman" w:hAnsiTheme="minorHAnsi" w:cs="Times New Roman"/>
                <w:color w:val="000000"/>
                <w:lang w:eastAsia="en-AU"/>
              </w:rPr>
            </w:pPr>
            <w:r w:rsidRPr="00AE68F2">
              <w:rPr>
                <w:rFonts w:asciiTheme="minorHAnsi" w:eastAsia="Times New Roman" w:hAnsiTheme="minorHAnsi" w:cs="Times New Roman"/>
                <w:color w:val="000000"/>
                <w:lang w:eastAsia="en-AU"/>
              </w:rPr>
              <w:t xml:space="preserve">Diffuse macular rash with subsequent desquamation one to two weeks after onset (including palms and soles); </w:t>
            </w:r>
          </w:p>
          <w:p w14:paraId="31B76379" w14:textId="77777777" w:rsidR="00933D21" w:rsidRPr="00AE68F2" w:rsidRDefault="00933D21" w:rsidP="00933D21">
            <w:pPr>
              <w:numPr>
                <w:ilvl w:val="0"/>
                <w:numId w:val="4"/>
              </w:numPr>
              <w:spacing w:before="100" w:beforeAutospacing="1" w:after="150" w:line="276" w:lineRule="auto"/>
              <w:rPr>
                <w:rFonts w:asciiTheme="minorHAnsi" w:eastAsia="Times New Roman" w:hAnsiTheme="minorHAnsi" w:cs="Times New Roman"/>
                <w:color w:val="000000"/>
                <w:lang w:eastAsia="en-AU"/>
              </w:rPr>
            </w:pPr>
            <w:r w:rsidRPr="00AE68F2">
              <w:rPr>
                <w:rFonts w:asciiTheme="minorHAnsi" w:eastAsia="Times New Roman" w:hAnsiTheme="minorHAnsi" w:cs="Times New Roman"/>
                <w:color w:val="000000"/>
                <w:lang w:eastAsia="en-AU"/>
              </w:rPr>
              <w:t>Multisystem involvement (three or more of the following):</w:t>
            </w:r>
          </w:p>
          <w:p w14:paraId="636FD8B8" w14:textId="77777777" w:rsidR="00933D21" w:rsidRPr="00AE68F2" w:rsidRDefault="00933D21" w:rsidP="00933D21">
            <w:pPr>
              <w:numPr>
                <w:ilvl w:val="0"/>
                <w:numId w:val="5"/>
              </w:numPr>
              <w:spacing w:before="100" w:beforeAutospacing="1" w:after="150" w:line="276" w:lineRule="auto"/>
              <w:rPr>
                <w:rFonts w:asciiTheme="minorHAnsi" w:eastAsia="Times New Roman" w:hAnsiTheme="minorHAnsi" w:cs="Times New Roman"/>
                <w:color w:val="000000"/>
                <w:lang w:eastAsia="en-AU"/>
              </w:rPr>
            </w:pPr>
            <w:r w:rsidRPr="00AE68F2">
              <w:rPr>
                <w:rFonts w:asciiTheme="minorHAnsi" w:eastAsia="Times New Roman" w:hAnsiTheme="minorHAnsi" w:cs="Times New Roman"/>
                <w:color w:val="000000"/>
                <w:lang w:eastAsia="en-AU"/>
              </w:rPr>
              <w:t xml:space="preserve">Hepatic: bilirubin or aminotransferase ≥2 times normal; </w:t>
            </w:r>
          </w:p>
          <w:p w14:paraId="54D9FAC9" w14:textId="77777777" w:rsidR="00933D21" w:rsidRPr="00AE68F2" w:rsidRDefault="00933D21" w:rsidP="00933D21">
            <w:pPr>
              <w:numPr>
                <w:ilvl w:val="0"/>
                <w:numId w:val="5"/>
              </w:numPr>
              <w:spacing w:before="100" w:beforeAutospacing="1" w:after="150" w:line="276" w:lineRule="auto"/>
              <w:rPr>
                <w:rFonts w:asciiTheme="minorHAnsi" w:eastAsia="Times New Roman" w:hAnsiTheme="minorHAnsi" w:cs="Times New Roman"/>
                <w:color w:val="000000"/>
                <w:lang w:eastAsia="en-AU"/>
              </w:rPr>
            </w:pPr>
            <w:r w:rsidRPr="00AE68F2">
              <w:rPr>
                <w:rFonts w:asciiTheme="minorHAnsi" w:eastAsia="Times New Roman" w:hAnsiTheme="minorHAnsi" w:cs="Times New Roman"/>
                <w:color w:val="000000"/>
                <w:lang w:eastAsia="en-AU"/>
              </w:rPr>
              <w:t>Haematologic: platelet count ≤100x10</w:t>
            </w:r>
            <w:r w:rsidRPr="00AE68F2">
              <w:rPr>
                <w:rFonts w:asciiTheme="minorHAnsi" w:eastAsia="Times New Roman" w:hAnsiTheme="minorHAnsi" w:cs="Times New Roman"/>
                <w:color w:val="000000"/>
                <w:vertAlign w:val="superscript"/>
                <w:lang w:eastAsia="en-AU"/>
              </w:rPr>
              <w:t>9</w:t>
            </w:r>
            <w:r w:rsidRPr="00AE68F2">
              <w:rPr>
                <w:rFonts w:asciiTheme="minorHAnsi" w:eastAsia="Times New Roman" w:hAnsiTheme="minorHAnsi" w:cs="Times New Roman"/>
                <w:color w:val="000000"/>
                <w:lang w:eastAsia="en-AU"/>
              </w:rPr>
              <w:t xml:space="preserve">/L; </w:t>
            </w:r>
          </w:p>
          <w:p w14:paraId="4976D918" w14:textId="77777777" w:rsidR="00933D21" w:rsidRPr="00AE68F2" w:rsidRDefault="00933D21" w:rsidP="00933D21">
            <w:pPr>
              <w:numPr>
                <w:ilvl w:val="0"/>
                <w:numId w:val="5"/>
              </w:numPr>
              <w:spacing w:before="100" w:beforeAutospacing="1" w:after="150" w:line="276" w:lineRule="auto"/>
              <w:rPr>
                <w:rFonts w:asciiTheme="minorHAnsi" w:eastAsia="Times New Roman" w:hAnsiTheme="minorHAnsi" w:cs="Times New Roman"/>
                <w:color w:val="000000"/>
                <w:lang w:eastAsia="en-AU"/>
              </w:rPr>
            </w:pPr>
            <w:r w:rsidRPr="00AE68F2">
              <w:rPr>
                <w:rFonts w:asciiTheme="minorHAnsi" w:eastAsia="Times New Roman" w:hAnsiTheme="minorHAnsi" w:cs="Times New Roman"/>
                <w:color w:val="000000"/>
                <w:lang w:eastAsia="en-AU"/>
              </w:rPr>
              <w:t xml:space="preserve">Renal: blood urea nitrogen or serum </w:t>
            </w:r>
            <w:r w:rsidRPr="00AE68F2">
              <w:rPr>
                <w:rFonts w:asciiTheme="minorHAnsi" w:eastAsia="Times New Roman" w:hAnsiTheme="minorHAnsi" w:cs="Times New Roman"/>
                <w:color w:val="000000"/>
                <w:lang w:eastAsia="en-AU"/>
              </w:rPr>
              <w:lastRenderedPageBreak/>
              <w:t xml:space="preserve">creatinine level ≥2 times normal; </w:t>
            </w:r>
          </w:p>
          <w:p w14:paraId="6F735305" w14:textId="77777777" w:rsidR="00933D21" w:rsidRPr="00AE68F2" w:rsidRDefault="00933D21" w:rsidP="00933D21">
            <w:pPr>
              <w:numPr>
                <w:ilvl w:val="0"/>
                <w:numId w:val="5"/>
              </w:numPr>
              <w:spacing w:before="100" w:beforeAutospacing="1" w:after="150" w:line="276" w:lineRule="auto"/>
              <w:rPr>
                <w:rFonts w:asciiTheme="minorHAnsi" w:eastAsia="Times New Roman" w:hAnsiTheme="minorHAnsi" w:cs="Times New Roman"/>
                <w:color w:val="000000"/>
                <w:lang w:eastAsia="en-AU"/>
              </w:rPr>
            </w:pPr>
            <w:r w:rsidRPr="00AE68F2">
              <w:rPr>
                <w:rFonts w:asciiTheme="minorHAnsi" w:eastAsia="Times New Roman" w:hAnsiTheme="minorHAnsi" w:cs="Times New Roman"/>
                <w:color w:val="000000"/>
                <w:lang w:eastAsia="en-AU"/>
              </w:rPr>
              <w:t xml:space="preserve">Mucous membranes: vaginal, oropharyngeal or conjunctival hyperaemia; </w:t>
            </w:r>
          </w:p>
          <w:p w14:paraId="3644D6D6" w14:textId="77777777" w:rsidR="00933D21" w:rsidRPr="00AE68F2" w:rsidRDefault="00933D21" w:rsidP="00933D21">
            <w:pPr>
              <w:numPr>
                <w:ilvl w:val="0"/>
                <w:numId w:val="5"/>
              </w:numPr>
              <w:spacing w:before="100" w:beforeAutospacing="1" w:after="150" w:line="276" w:lineRule="auto"/>
              <w:rPr>
                <w:rFonts w:asciiTheme="minorHAnsi" w:eastAsia="Times New Roman" w:hAnsiTheme="minorHAnsi" w:cs="Times New Roman"/>
                <w:color w:val="000000"/>
                <w:lang w:eastAsia="en-AU"/>
              </w:rPr>
            </w:pPr>
            <w:r w:rsidRPr="00AE68F2">
              <w:rPr>
                <w:rFonts w:asciiTheme="minorHAnsi" w:eastAsia="Times New Roman" w:hAnsiTheme="minorHAnsi" w:cs="Times New Roman"/>
                <w:color w:val="000000"/>
                <w:lang w:eastAsia="en-AU"/>
              </w:rPr>
              <w:t xml:space="preserve">Gastrointestinal: vomiting or diarrhoea at onset of illness; </w:t>
            </w:r>
          </w:p>
          <w:p w14:paraId="09F29880" w14:textId="77777777" w:rsidR="00933D21" w:rsidRPr="00AE68F2" w:rsidRDefault="00933D21" w:rsidP="00933D21">
            <w:pPr>
              <w:numPr>
                <w:ilvl w:val="0"/>
                <w:numId w:val="5"/>
              </w:numPr>
              <w:spacing w:before="100" w:beforeAutospacing="1" w:after="150" w:line="276" w:lineRule="auto"/>
              <w:rPr>
                <w:rFonts w:asciiTheme="minorHAnsi" w:eastAsia="Times New Roman" w:hAnsiTheme="minorHAnsi" w:cs="Times New Roman"/>
                <w:color w:val="000000"/>
                <w:lang w:eastAsia="en-AU"/>
              </w:rPr>
            </w:pPr>
            <w:r w:rsidRPr="00AE68F2">
              <w:rPr>
                <w:rFonts w:asciiTheme="minorHAnsi" w:eastAsia="Times New Roman" w:hAnsiTheme="minorHAnsi" w:cs="Times New Roman"/>
                <w:color w:val="000000"/>
                <w:lang w:eastAsia="en-AU"/>
              </w:rPr>
              <w:t xml:space="preserve">Muscular: severe myalgia or serum creatine phosphokinase level ≥2 times upper limit; </w:t>
            </w:r>
          </w:p>
          <w:p w14:paraId="3AD1284A" w14:textId="77777777" w:rsidR="00933D21" w:rsidRPr="00AE68F2" w:rsidRDefault="00933D21" w:rsidP="00933D21">
            <w:pPr>
              <w:numPr>
                <w:ilvl w:val="0"/>
                <w:numId w:val="5"/>
              </w:numPr>
              <w:spacing w:before="100" w:beforeAutospacing="1" w:after="150" w:line="276" w:lineRule="auto"/>
              <w:rPr>
                <w:rFonts w:asciiTheme="minorHAnsi" w:eastAsia="Times New Roman" w:hAnsiTheme="minorHAnsi" w:cs="Times New Roman"/>
                <w:color w:val="000000"/>
                <w:lang w:eastAsia="en-AU"/>
              </w:rPr>
            </w:pPr>
            <w:r w:rsidRPr="00AE68F2">
              <w:rPr>
                <w:rFonts w:asciiTheme="minorHAnsi" w:eastAsia="Times New Roman" w:hAnsiTheme="minorHAnsi" w:cs="Times New Roman"/>
                <w:color w:val="000000"/>
                <w:lang w:eastAsia="en-AU"/>
              </w:rPr>
              <w:t>Central nervous system: disorientation or alteration in consciousness without focal neurological signs and in the absence of fever or hypotension.</w:t>
            </w:r>
          </w:p>
          <w:p w14:paraId="050364CB" w14:textId="77777777" w:rsidR="00933D21" w:rsidRPr="00AE68F2" w:rsidRDefault="00933D21" w:rsidP="00933D21">
            <w:pPr>
              <w:spacing w:after="225" w:line="276" w:lineRule="auto"/>
              <w:rPr>
                <w:rFonts w:asciiTheme="minorHAnsi" w:eastAsia="Times New Roman" w:hAnsiTheme="minorHAnsi" w:cs="Times New Roman"/>
                <w:color w:val="000000"/>
                <w:lang w:eastAsia="en-AU"/>
              </w:rPr>
            </w:pPr>
            <w:r w:rsidRPr="00AE68F2">
              <w:rPr>
                <w:rFonts w:asciiTheme="minorHAnsi" w:eastAsia="Times New Roman" w:hAnsiTheme="minorHAnsi" w:cs="Times New Roman"/>
                <w:color w:val="000000"/>
                <w:lang w:eastAsia="en-AU"/>
              </w:rPr>
              <w:t xml:space="preserve">A </w:t>
            </w:r>
            <w:r w:rsidRPr="00AE68F2">
              <w:rPr>
                <w:rFonts w:asciiTheme="minorHAnsi" w:eastAsia="Times New Roman" w:hAnsiTheme="minorHAnsi" w:cs="Times New Roman"/>
                <w:i/>
                <w:iCs/>
                <w:color w:val="000000"/>
                <w:lang w:eastAsia="en-AU"/>
              </w:rPr>
              <w:t>confirmed</w:t>
            </w:r>
            <w:r w:rsidRPr="00AE68F2">
              <w:rPr>
                <w:rFonts w:asciiTheme="minorHAnsi" w:eastAsia="Times New Roman" w:hAnsiTheme="minorHAnsi" w:cs="Times New Roman"/>
                <w:color w:val="000000"/>
                <w:lang w:eastAsia="en-AU"/>
              </w:rPr>
              <w:t xml:space="preserve"> case is a case with all of the manifestations described above. However, in severe cases death may occur before desquamation develops.</w:t>
            </w:r>
          </w:p>
          <w:p w14:paraId="6E3E8547" w14:textId="77777777" w:rsidR="00933D21" w:rsidRPr="00AE68F2" w:rsidRDefault="00933D21" w:rsidP="00933D21">
            <w:pPr>
              <w:spacing w:after="225" w:line="276" w:lineRule="auto"/>
              <w:rPr>
                <w:rFonts w:asciiTheme="minorHAnsi" w:eastAsia="Times New Roman" w:hAnsiTheme="minorHAnsi" w:cs="Times New Roman"/>
                <w:color w:val="000000"/>
                <w:lang w:eastAsia="en-AU"/>
              </w:rPr>
            </w:pPr>
            <w:r w:rsidRPr="00AE68F2">
              <w:rPr>
                <w:rFonts w:asciiTheme="minorHAnsi" w:eastAsia="Times New Roman" w:hAnsiTheme="minorHAnsi" w:cs="Times New Roman"/>
                <w:color w:val="000000"/>
                <w:lang w:eastAsia="en-AU"/>
              </w:rPr>
              <w:t xml:space="preserve">A </w:t>
            </w:r>
            <w:r w:rsidRPr="00AE68F2">
              <w:rPr>
                <w:rFonts w:asciiTheme="minorHAnsi" w:eastAsia="Times New Roman" w:hAnsiTheme="minorHAnsi" w:cs="Times New Roman"/>
                <w:i/>
                <w:iCs/>
                <w:color w:val="000000"/>
                <w:lang w:eastAsia="en-AU"/>
              </w:rPr>
              <w:t>probable</w:t>
            </w:r>
            <w:r w:rsidRPr="00AE68F2">
              <w:rPr>
                <w:rFonts w:asciiTheme="minorHAnsi" w:eastAsia="Times New Roman" w:hAnsiTheme="minorHAnsi" w:cs="Times New Roman"/>
                <w:color w:val="000000"/>
                <w:lang w:eastAsia="en-AU"/>
              </w:rPr>
              <w:t xml:space="preserve"> case is an illness with all but any one of the manifestations described above (Wharton et al 1990).</w:t>
            </w:r>
          </w:p>
          <w:p w14:paraId="6F8BE435" w14:textId="77777777" w:rsidR="00933D21" w:rsidRPr="00AE68F2" w:rsidRDefault="00933D21" w:rsidP="00933D21">
            <w:pPr>
              <w:spacing w:after="225" w:line="276" w:lineRule="auto"/>
              <w:rPr>
                <w:rFonts w:asciiTheme="minorHAnsi" w:eastAsia="Times New Roman" w:hAnsiTheme="minorHAnsi" w:cs="Times New Roman"/>
                <w:b/>
                <w:bCs/>
                <w:color w:val="000000"/>
                <w:lang w:eastAsia="en-AU"/>
              </w:rPr>
            </w:pPr>
            <w:r w:rsidRPr="00AE68F2">
              <w:rPr>
                <w:rFonts w:asciiTheme="minorHAnsi" w:eastAsia="Times New Roman" w:hAnsiTheme="minorHAnsi" w:cs="Times New Roman"/>
                <w:b/>
                <w:bCs/>
                <w:color w:val="000000"/>
                <w:lang w:eastAsia="en-AU"/>
              </w:rPr>
              <w:t>Prognosis</w:t>
            </w:r>
          </w:p>
          <w:p w14:paraId="64BEC95A" w14:textId="77777777" w:rsidR="00933D21" w:rsidRPr="00AE68F2" w:rsidRDefault="00933D21" w:rsidP="00933D21">
            <w:pPr>
              <w:spacing w:after="225" w:line="276" w:lineRule="auto"/>
              <w:rPr>
                <w:rFonts w:asciiTheme="minorHAnsi" w:eastAsia="Times New Roman" w:hAnsiTheme="minorHAnsi" w:cs="Times New Roman"/>
                <w:color w:val="000000"/>
                <w:lang w:eastAsia="en-AU"/>
              </w:rPr>
            </w:pPr>
            <w:r w:rsidRPr="00AE68F2">
              <w:rPr>
                <w:rFonts w:asciiTheme="minorHAnsi" w:eastAsia="Times New Roman" w:hAnsiTheme="minorHAnsi" w:cs="Times New Roman"/>
                <w:color w:val="000000"/>
                <w:lang w:eastAsia="en-AU"/>
              </w:rPr>
              <w:t xml:space="preserve">Streptococcal TSS has a mortality rate of 30–80% in adults and 5–10% in children, with most deaths secondary to shock and respiratory </w:t>
            </w:r>
            <w:r w:rsidRPr="00AE68F2">
              <w:rPr>
                <w:rFonts w:asciiTheme="minorHAnsi" w:eastAsia="Times New Roman" w:hAnsiTheme="minorHAnsi" w:cs="Times New Roman"/>
                <w:color w:val="000000"/>
                <w:lang w:eastAsia="en-AU"/>
              </w:rPr>
              <w:lastRenderedPageBreak/>
              <w:t>failure.</w:t>
            </w:r>
          </w:p>
          <w:p w14:paraId="063F6488" w14:textId="77777777" w:rsidR="00933D21" w:rsidRPr="00AE68F2" w:rsidRDefault="00933D21" w:rsidP="00933D21">
            <w:pPr>
              <w:spacing w:after="225" w:line="276" w:lineRule="auto"/>
              <w:rPr>
                <w:rFonts w:asciiTheme="minorHAnsi" w:eastAsia="Times New Roman" w:hAnsiTheme="minorHAnsi" w:cs="Times New Roman"/>
                <w:color w:val="000000"/>
                <w:lang w:eastAsia="en-AU"/>
              </w:rPr>
            </w:pPr>
            <w:r w:rsidRPr="00AE68F2">
              <w:rPr>
                <w:rFonts w:asciiTheme="minorHAnsi" w:eastAsia="Times New Roman" w:hAnsiTheme="minorHAnsi" w:cs="Times New Roman"/>
                <w:color w:val="000000"/>
                <w:lang w:eastAsia="en-AU"/>
              </w:rPr>
              <w:t>Staphylococcal TSS can also be fatal but mostly has a better prognosis.</w:t>
            </w:r>
          </w:p>
          <w:p w14:paraId="490058EC" w14:textId="77777777" w:rsidR="00933D21" w:rsidRPr="00AE68F2" w:rsidRDefault="00933D21" w:rsidP="005874DB">
            <w:pPr>
              <w:spacing w:after="225" w:line="360" w:lineRule="atLeast"/>
              <w:rPr>
                <w:rFonts w:asciiTheme="minorHAnsi" w:eastAsia="Times New Roman" w:hAnsiTheme="minorHAnsi" w:cs="Times New Roman"/>
                <w:color w:val="000000"/>
                <w:lang w:eastAsia="en-AU"/>
              </w:rPr>
            </w:pPr>
          </w:p>
        </w:tc>
        <w:tc>
          <w:tcPr>
            <w:tcW w:w="4678" w:type="dxa"/>
            <w:gridSpan w:val="3"/>
            <w:shd w:val="clear" w:color="auto" w:fill="auto"/>
          </w:tcPr>
          <w:p w14:paraId="70A6A3FF" w14:textId="4B0488B6" w:rsidR="00933D21" w:rsidRPr="00DF781C" w:rsidRDefault="00933D21" w:rsidP="00933D21">
            <w:pPr>
              <w:spacing w:line="276" w:lineRule="auto"/>
              <w:rPr>
                <w:rFonts w:asciiTheme="minorHAnsi" w:hAnsiTheme="minorHAnsi"/>
              </w:rPr>
            </w:pPr>
            <w:r w:rsidRPr="00DF781C">
              <w:rPr>
                <w:rFonts w:asciiTheme="minorHAnsi" w:hAnsiTheme="minorHAnsi"/>
              </w:rPr>
              <w:lastRenderedPageBreak/>
              <w:t xml:space="preserve">TSS is a life-threatening illness characterised by hypotension and multi-organ failure. It may be caused by </w:t>
            </w:r>
            <w:r w:rsidRPr="00DF781C">
              <w:rPr>
                <w:rFonts w:asciiTheme="minorHAnsi" w:hAnsiTheme="minorHAnsi"/>
                <w:i/>
              </w:rPr>
              <w:t>Staph</w:t>
            </w:r>
            <w:r>
              <w:rPr>
                <w:rFonts w:asciiTheme="minorHAnsi" w:hAnsiTheme="minorHAnsi"/>
                <w:i/>
              </w:rPr>
              <w:t>y</w:t>
            </w:r>
            <w:r w:rsidRPr="00DF781C">
              <w:rPr>
                <w:rFonts w:asciiTheme="minorHAnsi" w:hAnsiTheme="minorHAnsi"/>
                <w:i/>
              </w:rPr>
              <w:t>lococcus aureus</w:t>
            </w:r>
            <w:r w:rsidRPr="00DF781C">
              <w:rPr>
                <w:rFonts w:asciiTheme="minorHAnsi" w:hAnsiTheme="minorHAnsi"/>
              </w:rPr>
              <w:t xml:space="preserve"> (rarely isolated) or </w:t>
            </w:r>
            <w:r w:rsidRPr="00DF781C">
              <w:rPr>
                <w:rFonts w:asciiTheme="minorHAnsi" w:hAnsiTheme="minorHAnsi"/>
                <w:i/>
              </w:rPr>
              <w:t>Streptoco</w:t>
            </w:r>
            <w:r>
              <w:rPr>
                <w:rFonts w:asciiTheme="minorHAnsi" w:hAnsiTheme="minorHAnsi"/>
                <w:i/>
              </w:rPr>
              <w:t>c</w:t>
            </w:r>
            <w:r w:rsidRPr="00DF781C">
              <w:rPr>
                <w:rFonts w:asciiTheme="minorHAnsi" w:hAnsiTheme="minorHAnsi"/>
                <w:i/>
              </w:rPr>
              <w:t xml:space="preserve">cus pyogenes </w:t>
            </w:r>
            <w:r w:rsidRPr="00DF781C">
              <w:rPr>
                <w:rFonts w:asciiTheme="minorHAnsi" w:hAnsiTheme="minorHAnsi"/>
              </w:rPr>
              <w:t>that produce and release superantigenic exotoxins. The exotoxins activate T-cells on a large scale, resulting in a massive release of inflammatory cytokines.</w:t>
            </w:r>
          </w:p>
          <w:p w14:paraId="43EE73E9" w14:textId="77777777" w:rsidR="00933D21" w:rsidRPr="00DF781C" w:rsidRDefault="00933D21" w:rsidP="00933D21">
            <w:pPr>
              <w:spacing w:line="276" w:lineRule="auto"/>
              <w:rPr>
                <w:rFonts w:asciiTheme="minorHAnsi" w:hAnsiTheme="minorHAnsi"/>
              </w:rPr>
            </w:pPr>
          </w:p>
          <w:p w14:paraId="2DE1784E" w14:textId="07FD796D" w:rsidR="00933D21" w:rsidRPr="00DF781C" w:rsidRDefault="00933D21" w:rsidP="00933D21">
            <w:pPr>
              <w:spacing w:line="276" w:lineRule="auto"/>
              <w:rPr>
                <w:rFonts w:asciiTheme="minorHAnsi" w:hAnsiTheme="minorHAnsi"/>
              </w:rPr>
            </w:pPr>
            <w:r w:rsidRPr="00DF781C">
              <w:rPr>
                <w:rFonts w:asciiTheme="minorHAnsi" w:hAnsiTheme="minorHAnsi"/>
                <w:b/>
              </w:rPr>
              <w:t>Streptoc</w:t>
            </w:r>
            <w:r>
              <w:rPr>
                <w:rFonts w:asciiTheme="minorHAnsi" w:hAnsiTheme="minorHAnsi"/>
                <w:b/>
              </w:rPr>
              <w:t>oc</w:t>
            </w:r>
            <w:r w:rsidRPr="00DF781C">
              <w:rPr>
                <w:rFonts w:asciiTheme="minorHAnsi" w:hAnsiTheme="minorHAnsi"/>
                <w:b/>
              </w:rPr>
              <w:t>cal TSS</w:t>
            </w:r>
            <w:r w:rsidRPr="00DF781C">
              <w:rPr>
                <w:rFonts w:asciiTheme="minorHAnsi" w:hAnsiTheme="minorHAnsi"/>
              </w:rPr>
              <w:t xml:space="preserve"> is defined by: </w:t>
            </w:r>
          </w:p>
          <w:p w14:paraId="3DD106D4" w14:textId="2227ECC4" w:rsidR="00933D21" w:rsidRPr="00DF781C" w:rsidRDefault="00933D21" w:rsidP="00933D21">
            <w:pPr>
              <w:spacing w:line="276" w:lineRule="auto"/>
              <w:rPr>
                <w:rFonts w:asciiTheme="minorHAnsi" w:hAnsiTheme="minorHAnsi"/>
              </w:rPr>
            </w:pPr>
            <w:r w:rsidRPr="00DF781C">
              <w:rPr>
                <w:rFonts w:asciiTheme="minorHAnsi" w:hAnsiTheme="minorHAnsi"/>
              </w:rPr>
              <w:t>I. Group A streptococci (</w:t>
            </w:r>
            <w:r w:rsidRPr="00DF781C">
              <w:rPr>
                <w:rFonts w:asciiTheme="minorHAnsi" w:hAnsiTheme="minorHAnsi"/>
                <w:i/>
              </w:rPr>
              <w:t>S. pyogenes</w:t>
            </w:r>
            <w:r w:rsidRPr="00DF781C">
              <w:rPr>
                <w:rFonts w:asciiTheme="minorHAnsi" w:hAnsiTheme="minorHAnsi"/>
              </w:rPr>
              <w:t xml:space="preserve">) isolated from: </w:t>
            </w:r>
          </w:p>
          <w:p w14:paraId="16FFB93A" w14:textId="77777777" w:rsidR="00933D21" w:rsidRPr="00DF781C" w:rsidRDefault="00933D21" w:rsidP="00933D21">
            <w:pPr>
              <w:pStyle w:val="ListParagraph"/>
              <w:numPr>
                <w:ilvl w:val="0"/>
                <w:numId w:val="11"/>
              </w:numPr>
              <w:spacing w:line="276" w:lineRule="auto"/>
              <w:rPr>
                <w:rFonts w:asciiTheme="minorHAnsi" w:hAnsiTheme="minorHAnsi"/>
              </w:rPr>
            </w:pPr>
            <w:r w:rsidRPr="00DF781C">
              <w:rPr>
                <w:rFonts w:asciiTheme="minorHAnsi" w:hAnsiTheme="minorHAnsi"/>
              </w:rPr>
              <w:t>(IA) a normally sterile site (e.g. blood cerebrospinal fluid, pleural or peritoneal fluid, tissue biopsy, surgical wound); or</w:t>
            </w:r>
          </w:p>
          <w:p w14:paraId="6B71A11D" w14:textId="77777777" w:rsidR="00933D21" w:rsidRPr="00DF781C" w:rsidRDefault="00933D21" w:rsidP="00933D21">
            <w:pPr>
              <w:pStyle w:val="ListParagraph"/>
              <w:numPr>
                <w:ilvl w:val="0"/>
                <w:numId w:val="11"/>
              </w:numPr>
              <w:spacing w:line="276" w:lineRule="auto"/>
              <w:rPr>
                <w:rFonts w:asciiTheme="minorHAnsi" w:hAnsiTheme="minorHAnsi"/>
              </w:rPr>
            </w:pPr>
            <w:r w:rsidRPr="00DF781C">
              <w:rPr>
                <w:rFonts w:asciiTheme="minorHAnsi" w:hAnsiTheme="minorHAnsi"/>
              </w:rPr>
              <w:t>(1B) a non-sterile site (e.g. throat, sputum, vagina, superficial skin lesion).</w:t>
            </w:r>
          </w:p>
          <w:p w14:paraId="013EB479" w14:textId="77777777" w:rsidR="00933D21" w:rsidRPr="00DF781C" w:rsidRDefault="00933D21" w:rsidP="00933D21">
            <w:pPr>
              <w:spacing w:line="276" w:lineRule="auto"/>
              <w:rPr>
                <w:rFonts w:asciiTheme="minorHAnsi" w:hAnsiTheme="minorHAnsi"/>
              </w:rPr>
            </w:pPr>
            <w:r w:rsidRPr="00DF781C">
              <w:rPr>
                <w:rFonts w:asciiTheme="minorHAnsi" w:hAnsiTheme="minorHAnsi"/>
              </w:rPr>
              <w:t>IIA. Hypotension: systolic blood pressure = 90 mmHg in adults or 5</w:t>
            </w:r>
            <w:r w:rsidRPr="00DF781C">
              <w:rPr>
                <w:rFonts w:asciiTheme="minorHAnsi" w:hAnsiTheme="minorHAnsi"/>
                <w:vertAlign w:val="superscript"/>
              </w:rPr>
              <w:t>th</w:t>
            </w:r>
            <w:r w:rsidRPr="00DF781C">
              <w:rPr>
                <w:rFonts w:asciiTheme="minorHAnsi" w:hAnsiTheme="minorHAnsi"/>
              </w:rPr>
              <w:t xml:space="preserve"> percentile for age in children; and </w:t>
            </w:r>
          </w:p>
          <w:p w14:paraId="5D9E3ED3" w14:textId="77777777" w:rsidR="00933D21" w:rsidRPr="00DF781C" w:rsidRDefault="00933D21" w:rsidP="00933D21">
            <w:pPr>
              <w:spacing w:line="276" w:lineRule="auto"/>
              <w:rPr>
                <w:rFonts w:asciiTheme="minorHAnsi" w:hAnsiTheme="minorHAnsi"/>
              </w:rPr>
            </w:pPr>
            <w:r w:rsidRPr="00DF781C">
              <w:rPr>
                <w:rFonts w:asciiTheme="minorHAnsi" w:hAnsiTheme="minorHAnsi"/>
              </w:rPr>
              <w:t xml:space="preserve">IIB. Two or more of the following: </w:t>
            </w:r>
          </w:p>
          <w:p w14:paraId="1ADD1FB0" w14:textId="77777777" w:rsidR="00933D21" w:rsidRPr="00DF781C" w:rsidRDefault="00933D21" w:rsidP="00933D21">
            <w:pPr>
              <w:pStyle w:val="ListParagraph"/>
              <w:numPr>
                <w:ilvl w:val="0"/>
                <w:numId w:val="12"/>
              </w:numPr>
              <w:spacing w:line="276" w:lineRule="auto"/>
              <w:rPr>
                <w:rFonts w:asciiTheme="minorHAnsi" w:hAnsiTheme="minorHAnsi"/>
              </w:rPr>
            </w:pPr>
            <w:r w:rsidRPr="00DF781C">
              <w:rPr>
                <w:rFonts w:asciiTheme="minorHAnsi" w:hAnsiTheme="minorHAnsi"/>
              </w:rPr>
              <w:t>Renal impairment: serum creatinine for adults at least twice the upper limit of normal for age; in patients with existing renal disease, elevation over baseline by a factor of at least two</w:t>
            </w:r>
          </w:p>
          <w:p w14:paraId="30156B9F" w14:textId="77777777" w:rsidR="00933D21" w:rsidRPr="00DF781C" w:rsidRDefault="00933D21" w:rsidP="00933D21">
            <w:pPr>
              <w:pStyle w:val="ListParagraph"/>
              <w:numPr>
                <w:ilvl w:val="0"/>
                <w:numId w:val="12"/>
              </w:numPr>
              <w:spacing w:line="276" w:lineRule="auto"/>
              <w:rPr>
                <w:rFonts w:asciiTheme="minorHAnsi" w:hAnsiTheme="minorHAnsi"/>
              </w:rPr>
            </w:pPr>
            <w:r w:rsidRPr="00DF781C">
              <w:rPr>
                <w:rFonts w:asciiTheme="minorHAnsi" w:hAnsiTheme="minorHAnsi"/>
              </w:rPr>
              <w:t>Coagulopathy: platelet count ≤100 x 10</w:t>
            </w:r>
            <w:r w:rsidRPr="00DF781C">
              <w:rPr>
                <w:rFonts w:asciiTheme="minorHAnsi" w:hAnsiTheme="minorHAnsi"/>
                <w:vertAlign w:val="superscript"/>
              </w:rPr>
              <w:t>9</w:t>
            </w:r>
            <w:r w:rsidRPr="00DF781C">
              <w:rPr>
                <w:rFonts w:asciiTheme="minorHAnsi" w:hAnsiTheme="minorHAnsi"/>
              </w:rPr>
              <w:t xml:space="preserve">/L or disseminated intravascular coagulation, defined by prolonged clotting times, low fibrinogen level and the presence of fibrin degradation </w:t>
            </w:r>
            <w:r w:rsidRPr="00DF781C">
              <w:rPr>
                <w:rFonts w:asciiTheme="minorHAnsi" w:hAnsiTheme="minorHAnsi"/>
              </w:rPr>
              <w:lastRenderedPageBreak/>
              <w:t>products</w:t>
            </w:r>
          </w:p>
          <w:p w14:paraId="40CE6D95" w14:textId="77777777" w:rsidR="00933D21" w:rsidRPr="00DF781C" w:rsidRDefault="00933D21" w:rsidP="00933D21">
            <w:pPr>
              <w:pStyle w:val="ListParagraph"/>
              <w:numPr>
                <w:ilvl w:val="0"/>
                <w:numId w:val="12"/>
              </w:numPr>
              <w:spacing w:line="276" w:lineRule="auto"/>
              <w:rPr>
                <w:rFonts w:asciiTheme="minorHAnsi" w:hAnsiTheme="minorHAnsi"/>
              </w:rPr>
            </w:pPr>
            <w:r w:rsidRPr="00DF781C">
              <w:rPr>
                <w:rFonts w:asciiTheme="minorHAnsi" w:hAnsiTheme="minorHAnsi"/>
              </w:rPr>
              <w:t>Liver involvement: alanine aminotransferase, or total bilirubin level at least twice the upper limit of normal for age; in patients with existing liver disease, elevation over baseline by a factor of two</w:t>
            </w:r>
          </w:p>
          <w:p w14:paraId="4A4EB728" w14:textId="77777777" w:rsidR="00933D21" w:rsidRPr="00DF781C" w:rsidRDefault="00933D21" w:rsidP="00933D21">
            <w:pPr>
              <w:pStyle w:val="ListParagraph"/>
              <w:numPr>
                <w:ilvl w:val="0"/>
                <w:numId w:val="12"/>
              </w:numPr>
              <w:spacing w:line="276" w:lineRule="auto"/>
              <w:rPr>
                <w:rFonts w:asciiTheme="minorHAnsi" w:hAnsiTheme="minorHAnsi"/>
              </w:rPr>
            </w:pPr>
            <w:r w:rsidRPr="00DF781C">
              <w:rPr>
                <w:rFonts w:asciiTheme="minorHAnsi" w:hAnsiTheme="minorHAnsi"/>
              </w:rPr>
              <w:t>Adult respiratory distress syndrome: defined by acute onset of diffuse pulmonary infiltrates and hypoxaemia in the absence of cardiac failure; or evidence of diffuse capillary leak manifested by acute onset or generalised oedema; or pleural or peritoneal effusions with hypoalbuminaemia</w:t>
            </w:r>
          </w:p>
          <w:p w14:paraId="48D5650E" w14:textId="77777777" w:rsidR="00933D21" w:rsidRPr="00DF781C" w:rsidRDefault="00933D21" w:rsidP="00933D21">
            <w:pPr>
              <w:pStyle w:val="ListParagraph"/>
              <w:numPr>
                <w:ilvl w:val="0"/>
                <w:numId w:val="12"/>
              </w:numPr>
              <w:spacing w:line="276" w:lineRule="auto"/>
              <w:rPr>
                <w:rFonts w:asciiTheme="minorHAnsi" w:hAnsiTheme="minorHAnsi"/>
              </w:rPr>
            </w:pPr>
            <w:r w:rsidRPr="00DF781C">
              <w:rPr>
                <w:rFonts w:asciiTheme="minorHAnsi" w:hAnsiTheme="minorHAnsi"/>
              </w:rPr>
              <w:t>Generalised erythematous macular rash that may desquamate</w:t>
            </w:r>
          </w:p>
          <w:p w14:paraId="3D9296AA" w14:textId="77777777" w:rsidR="00933D21" w:rsidRPr="00DF781C" w:rsidRDefault="00933D21" w:rsidP="00933D21">
            <w:pPr>
              <w:pStyle w:val="ListParagraph"/>
              <w:numPr>
                <w:ilvl w:val="0"/>
                <w:numId w:val="12"/>
              </w:numPr>
              <w:spacing w:line="276" w:lineRule="auto"/>
              <w:rPr>
                <w:rFonts w:asciiTheme="minorHAnsi" w:hAnsiTheme="minorHAnsi"/>
              </w:rPr>
            </w:pPr>
            <w:r w:rsidRPr="00DF781C">
              <w:rPr>
                <w:rFonts w:asciiTheme="minorHAnsi" w:hAnsiTheme="minorHAnsi"/>
              </w:rPr>
              <w:t xml:space="preserve">Soft tissue necrosis, including necrotising fasciitis or myositis; or gangrene.  </w:t>
            </w:r>
          </w:p>
          <w:p w14:paraId="3BAAC3A9" w14:textId="77777777" w:rsidR="00933D21" w:rsidRPr="00DF781C" w:rsidRDefault="00933D21" w:rsidP="00933D21">
            <w:pPr>
              <w:widowControl w:val="0"/>
              <w:autoSpaceDE w:val="0"/>
              <w:autoSpaceDN w:val="0"/>
              <w:adjustRightInd w:val="0"/>
              <w:spacing w:line="276" w:lineRule="auto"/>
              <w:rPr>
                <w:rFonts w:asciiTheme="minorHAnsi" w:eastAsiaTheme="minorHAnsi" w:hAnsiTheme="minorHAnsi" w:cs="Lucida Sans"/>
                <w:lang w:val="en-US"/>
              </w:rPr>
            </w:pPr>
            <w:r w:rsidRPr="00DF781C">
              <w:rPr>
                <w:rFonts w:asciiTheme="minorHAnsi" w:eastAsiaTheme="minorHAnsi" w:hAnsiTheme="minorHAnsi" w:cs="Lucida Sans"/>
                <w:lang w:val="en-US"/>
              </w:rPr>
              <w:t xml:space="preserve">A </w:t>
            </w:r>
            <w:r w:rsidRPr="00DF781C">
              <w:rPr>
                <w:rFonts w:asciiTheme="minorHAnsi" w:eastAsiaTheme="minorHAnsi" w:hAnsiTheme="minorHAnsi" w:cs="Lucida Sans"/>
                <w:i/>
                <w:iCs/>
                <w:lang w:val="en-US"/>
              </w:rPr>
              <w:t>definite</w:t>
            </w:r>
            <w:r w:rsidRPr="00DF781C">
              <w:rPr>
                <w:rFonts w:asciiTheme="minorHAnsi" w:eastAsiaTheme="minorHAnsi" w:hAnsiTheme="minorHAnsi" w:cs="Lucida Sans"/>
                <w:lang w:val="en-US"/>
              </w:rPr>
              <w:t xml:space="preserve"> case is an illness fulfilling criteria IA and II (A and B).</w:t>
            </w:r>
          </w:p>
          <w:p w14:paraId="21210450" w14:textId="77777777" w:rsidR="00933D21" w:rsidRPr="00DF781C" w:rsidRDefault="00933D21" w:rsidP="00933D21">
            <w:pPr>
              <w:widowControl w:val="0"/>
              <w:autoSpaceDE w:val="0"/>
              <w:autoSpaceDN w:val="0"/>
              <w:adjustRightInd w:val="0"/>
              <w:spacing w:line="276" w:lineRule="auto"/>
              <w:rPr>
                <w:rFonts w:asciiTheme="minorHAnsi" w:eastAsiaTheme="minorHAnsi" w:hAnsiTheme="minorHAnsi" w:cs="Lucida Sans"/>
                <w:lang w:val="en-US"/>
              </w:rPr>
            </w:pPr>
            <w:r w:rsidRPr="00DF781C">
              <w:rPr>
                <w:rFonts w:asciiTheme="minorHAnsi" w:eastAsiaTheme="minorHAnsi" w:hAnsiTheme="minorHAnsi" w:cs="Lucida Sans"/>
                <w:lang w:val="en-US"/>
              </w:rPr>
              <w:t xml:space="preserve">A </w:t>
            </w:r>
            <w:r w:rsidRPr="00DF781C">
              <w:rPr>
                <w:rFonts w:asciiTheme="minorHAnsi" w:eastAsiaTheme="minorHAnsi" w:hAnsiTheme="minorHAnsi" w:cs="Lucida Sans"/>
                <w:i/>
                <w:iCs/>
                <w:lang w:val="en-US"/>
              </w:rPr>
              <w:t>probable</w:t>
            </w:r>
            <w:r w:rsidRPr="00DF781C">
              <w:rPr>
                <w:rFonts w:asciiTheme="minorHAnsi" w:eastAsiaTheme="minorHAnsi" w:hAnsiTheme="minorHAnsi" w:cs="Lucida Sans"/>
                <w:lang w:val="en-US"/>
              </w:rPr>
              <w:t xml:space="preserve"> case is an illness fulfilling criteria IB and II (A and B) where no other aetiology is identified.</w:t>
            </w:r>
          </w:p>
          <w:p w14:paraId="0AAF2358" w14:textId="77777777" w:rsidR="00933D21" w:rsidRPr="00DF781C" w:rsidRDefault="00933D21" w:rsidP="00933D21">
            <w:pPr>
              <w:spacing w:line="276" w:lineRule="auto"/>
              <w:rPr>
                <w:rFonts w:asciiTheme="minorHAnsi" w:eastAsiaTheme="minorHAnsi" w:hAnsiTheme="minorHAnsi" w:cs="Lucida Sans"/>
                <w:lang w:val="en-US"/>
              </w:rPr>
            </w:pPr>
            <w:r w:rsidRPr="00933D21">
              <w:rPr>
                <w:rFonts w:asciiTheme="minorHAnsi" w:eastAsiaTheme="minorHAnsi" w:hAnsiTheme="minorHAnsi" w:cs="Lucida Sans"/>
                <w:lang w:val="en-US"/>
              </w:rPr>
              <w:t>(Working Group on Severe Streptococcal Infections 1993).</w:t>
            </w:r>
          </w:p>
          <w:p w14:paraId="7BEB95DF" w14:textId="77777777" w:rsidR="00933D21" w:rsidRPr="00DF781C" w:rsidRDefault="00933D21" w:rsidP="00933D21">
            <w:pPr>
              <w:spacing w:line="276" w:lineRule="auto"/>
              <w:rPr>
                <w:rFonts w:asciiTheme="minorHAnsi" w:hAnsiTheme="minorHAnsi"/>
              </w:rPr>
            </w:pPr>
          </w:p>
          <w:p w14:paraId="17E180FA" w14:textId="77777777" w:rsidR="00933D21" w:rsidRPr="00DF781C" w:rsidRDefault="00933D21" w:rsidP="00933D21">
            <w:pPr>
              <w:spacing w:line="276" w:lineRule="auto"/>
              <w:rPr>
                <w:rFonts w:asciiTheme="minorHAnsi" w:hAnsiTheme="minorHAnsi"/>
              </w:rPr>
            </w:pPr>
            <w:r w:rsidRPr="00DF781C">
              <w:rPr>
                <w:rFonts w:asciiTheme="minorHAnsi" w:hAnsiTheme="minorHAnsi"/>
                <w:b/>
              </w:rPr>
              <w:t>Staphylococcal TSS</w:t>
            </w:r>
            <w:r w:rsidRPr="00DF781C">
              <w:rPr>
                <w:rFonts w:asciiTheme="minorHAnsi" w:hAnsiTheme="minorHAnsi"/>
              </w:rPr>
              <w:t xml:space="preserve"> is defined by : </w:t>
            </w:r>
          </w:p>
          <w:p w14:paraId="411DBF20" w14:textId="4DDB415B" w:rsidR="00933D21" w:rsidRPr="00DF781C" w:rsidRDefault="00933D21" w:rsidP="00933D21">
            <w:pPr>
              <w:pStyle w:val="ListParagraph"/>
              <w:numPr>
                <w:ilvl w:val="0"/>
                <w:numId w:val="13"/>
              </w:numPr>
              <w:spacing w:line="276" w:lineRule="auto"/>
              <w:rPr>
                <w:rFonts w:asciiTheme="minorHAnsi" w:hAnsiTheme="minorHAnsi"/>
              </w:rPr>
            </w:pPr>
            <w:r w:rsidRPr="00DF781C">
              <w:rPr>
                <w:rFonts w:asciiTheme="minorHAnsi" w:hAnsiTheme="minorHAnsi"/>
              </w:rPr>
              <w:t>Fever: temperature ≥38.9</w:t>
            </w:r>
            <w:r>
              <w:rPr>
                <w:rFonts w:asciiTheme="minorHAnsi" w:hAnsiTheme="minorHAnsi"/>
                <w:sz w:val="18"/>
                <w:szCs w:val="18"/>
              </w:rPr>
              <w:sym w:font="Symbol" w:char="F0B0"/>
            </w:r>
            <w:r w:rsidRPr="00DF781C">
              <w:rPr>
                <w:rFonts w:asciiTheme="minorHAnsi" w:hAnsiTheme="minorHAnsi"/>
              </w:rPr>
              <w:t>C</w:t>
            </w:r>
          </w:p>
          <w:p w14:paraId="2D3A1355" w14:textId="77777777" w:rsidR="00933D21" w:rsidRPr="00DF781C" w:rsidRDefault="00933D21" w:rsidP="00933D21">
            <w:pPr>
              <w:pStyle w:val="ListParagraph"/>
              <w:numPr>
                <w:ilvl w:val="0"/>
                <w:numId w:val="13"/>
              </w:numPr>
              <w:spacing w:line="276" w:lineRule="auto"/>
              <w:rPr>
                <w:rFonts w:asciiTheme="minorHAnsi" w:hAnsiTheme="minorHAnsi"/>
              </w:rPr>
            </w:pPr>
            <w:r w:rsidRPr="00DF781C">
              <w:rPr>
                <w:rFonts w:asciiTheme="minorHAnsi" w:hAnsiTheme="minorHAnsi"/>
              </w:rPr>
              <w:t xml:space="preserve">Hypotension: systolic blood pressure </w:t>
            </w:r>
            <w:r w:rsidRPr="00DF781C">
              <w:rPr>
                <w:rFonts w:asciiTheme="minorHAnsi" w:hAnsiTheme="minorHAnsi"/>
              </w:rPr>
              <w:lastRenderedPageBreak/>
              <w:t>≤90 mmHg</w:t>
            </w:r>
          </w:p>
          <w:p w14:paraId="28045C27" w14:textId="77777777" w:rsidR="00933D21" w:rsidRPr="00DF781C" w:rsidRDefault="00933D21" w:rsidP="00933D21">
            <w:pPr>
              <w:pStyle w:val="ListParagraph"/>
              <w:numPr>
                <w:ilvl w:val="0"/>
                <w:numId w:val="13"/>
              </w:numPr>
              <w:spacing w:line="276" w:lineRule="auto"/>
              <w:rPr>
                <w:rFonts w:asciiTheme="minorHAnsi" w:hAnsiTheme="minorHAnsi"/>
              </w:rPr>
            </w:pPr>
            <w:r w:rsidRPr="00DF781C">
              <w:rPr>
                <w:rFonts w:asciiTheme="minorHAnsi" w:hAnsiTheme="minorHAnsi"/>
              </w:rPr>
              <w:t>Diffuse macular rash with subsequent desquamation one or two weeks after onset (including palms and soles)</w:t>
            </w:r>
          </w:p>
          <w:p w14:paraId="4A500774" w14:textId="77777777" w:rsidR="00933D21" w:rsidRPr="00DF781C" w:rsidRDefault="00933D21" w:rsidP="00933D21">
            <w:pPr>
              <w:pStyle w:val="ListParagraph"/>
              <w:numPr>
                <w:ilvl w:val="0"/>
                <w:numId w:val="13"/>
              </w:numPr>
              <w:spacing w:line="276" w:lineRule="auto"/>
              <w:rPr>
                <w:rFonts w:asciiTheme="minorHAnsi" w:hAnsiTheme="minorHAnsi"/>
              </w:rPr>
            </w:pPr>
            <w:r w:rsidRPr="00DF781C">
              <w:rPr>
                <w:rFonts w:asciiTheme="minorHAnsi" w:hAnsiTheme="minorHAnsi"/>
              </w:rPr>
              <w:t xml:space="preserve">Multisystem involvement (three or more of the following): </w:t>
            </w:r>
          </w:p>
          <w:p w14:paraId="7B3ACB52" w14:textId="77777777" w:rsidR="00933D21" w:rsidRPr="00DF781C" w:rsidRDefault="00933D21" w:rsidP="00933D21">
            <w:pPr>
              <w:pStyle w:val="ListParagraph"/>
              <w:numPr>
                <w:ilvl w:val="1"/>
                <w:numId w:val="13"/>
              </w:numPr>
              <w:spacing w:line="276" w:lineRule="auto"/>
              <w:rPr>
                <w:rFonts w:asciiTheme="minorHAnsi" w:hAnsiTheme="minorHAnsi"/>
              </w:rPr>
            </w:pPr>
            <w:r w:rsidRPr="00DF781C">
              <w:rPr>
                <w:rFonts w:asciiTheme="minorHAnsi" w:hAnsiTheme="minorHAnsi"/>
              </w:rPr>
              <w:t>Hepatic: bilirubin or aminotransferase ≥2 times normal</w:t>
            </w:r>
          </w:p>
          <w:p w14:paraId="1997155B" w14:textId="77777777" w:rsidR="00933D21" w:rsidRPr="00DF781C" w:rsidRDefault="00933D21" w:rsidP="00933D21">
            <w:pPr>
              <w:pStyle w:val="ListParagraph"/>
              <w:numPr>
                <w:ilvl w:val="1"/>
                <w:numId w:val="13"/>
              </w:numPr>
              <w:spacing w:line="276" w:lineRule="auto"/>
              <w:rPr>
                <w:rFonts w:asciiTheme="minorHAnsi" w:hAnsiTheme="minorHAnsi"/>
              </w:rPr>
            </w:pPr>
            <w:r w:rsidRPr="00DF781C">
              <w:rPr>
                <w:rFonts w:asciiTheme="minorHAnsi" w:hAnsiTheme="minorHAnsi"/>
              </w:rPr>
              <w:t>Haematologic: platelet count ≤100 x 10</w:t>
            </w:r>
            <w:r w:rsidRPr="00DF781C">
              <w:rPr>
                <w:rFonts w:asciiTheme="minorHAnsi" w:hAnsiTheme="minorHAnsi"/>
                <w:vertAlign w:val="superscript"/>
              </w:rPr>
              <w:t>9</w:t>
            </w:r>
            <w:r w:rsidRPr="00DF781C">
              <w:rPr>
                <w:rFonts w:asciiTheme="minorHAnsi" w:hAnsiTheme="minorHAnsi"/>
              </w:rPr>
              <w:t>/L</w:t>
            </w:r>
          </w:p>
          <w:p w14:paraId="541B149B" w14:textId="77777777" w:rsidR="00933D21" w:rsidRPr="00DF781C" w:rsidRDefault="00933D21" w:rsidP="00933D21">
            <w:pPr>
              <w:pStyle w:val="ListParagraph"/>
              <w:numPr>
                <w:ilvl w:val="1"/>
                <w:numId w:val="13"/>
              </w:numPr>
              <w:spacing w:line="276" w:lineRule="auto"/>
              <w:rPr>
                <w:rFonts w:asciiTheme="minorHAnsi" w:hAnsiTheme="minorHAnsi"/>
              </w:rPr>
            </w:pPr>
            <w:r w:rsidRPr="00DF781C">
              <w:rPr>
                <w:rFonts w:asciiTheme="minorHAnsi" w:hAnsiTheme="minorHAnsi"/>
              </w:rPr>
              <w:t>Renal: blood urea nitrogen or serum creatinine level ≥2 times normal</w:t>
            </w:r>
          </w:p>
          <w:p w14:paraId="2DF26244" w14:textId="70B2EE72" w:rsidR="00933D21" w:rsidRPr="00DF781C" w:rsidRDefault="00933D21" w:rsidP="00933D21">
            <w:pPr>
              <w:pStyle w:val="ListParagraph"/>
              <w:numPr>
                <w:ilvl w:val="1"/>
                <w:numId w:val="13"/>
              </w:numPr>
              <w:spacing w:line="276" w:lineRule="auto"/>
              <w:rPr>
                <w:rFonts w:asciiTheme="minorHAnsi" w:hAnsiTheme="minorHAnsi"/>
              </w:rPr>
            </w:pPr>
            <w:r w:rsidRPr="00DF781C">
              <w:rPr>
                <w:rFonts w:asciiTheme="minorHAnsi" w:hAnsiTheme="minorHAnsi"/>
              </w:rPr>
              <w:t>Mucous membranes: vaginal, oropha</w:t>
            </w:r>
            <w:r>
              <w:rPr>
                <w:rFonts w:asciiTheme="minorHAnsi" w:hAnsiTheme="minorHAnsi"/>
              </w:rPr>
              <w:t>r</w:t>
            </w:r>
            <w:r w:rsidRPr="00DF781C">
              <w:rPr>
                <w:rFonts w:asciiTheme="minorHAnsi" w:hAnsiTheme="minorHAnsi"/>
              </w:rPr>
              <w:t>yngeal or conjunctival hyperaemia</w:t>
            </w:r>
          </w:p>
          <w:p w14:paraId="46B08A04" w14:textId="77777777" w:rsidR="00933D21" w:rsidRPr="00DF781C" w:rsidRDefault="00933D21" w:rsidP="00933D21">
            <w:pPr>
              <w:pStyle w:val="ListParagraph"/>
              <w:numPr>
                <w:ilvl w:val="1"/>
                <w:numId w:val="13"/>
              </w:numPr>
              <w:spacing w:line="276" w:lineRule="auto"/>
              <w:rPr>
                <w:rFonts w:asciiTheme="minorHAnsi" w:hAnsiTheme="minorHAnsi"/>
              </w:rPr>
            </w:pPr>
            <w:r w:rsidRPr="00DF781C">
              <w:rPr>
                <w:rFonts w:asciiTheme="minorHAnsi" w:hAnsiTheme="minorHAnsi"/>
              </w:rPr>
              <w:t>Gastrointestinal: vomiting or diarrhoea at illness onset</w:t>
            </w:r>
          </w:p>
          <w:p w14:paraId="7DABA7F2" w14:textId="77777777" w:rsidR="00933D21" w:rsidRPr="00DF781C" w:rsidRDefault="00933D21" w:rsidP="00933D21">
            <w:pPr>
              <w:pStyle w:val="ListParagraph"/>
              <w:numPr>
                <w:ilvl w:val="1"/>
                <w:numId w:val="13"/>
              </w:numPr>
              <w:spacing w:line="276" w:lineRule="auto"/>
              <w:rPr>
                <w:rFonts w:asciiTheme="minorHAnsi" w:hAnsiTheme="minorHAnsi"/>
              </w:rPr>
            </w:pPr>
            <w:r w:rsidRPr="00DF781C">
              <w:rPr>
                <w:rFonts w:asciiTheme="minorHAnsi" w:hAnsiTheme="minorHAnsi"/>
              </w:rPr>
              <w:t>Muscular: severe myalgia or serum creatinine phosphokinase level ≥2 times upper limit</w:t>
            </w:r>
          </w:p>
          <w:p w14:paraId="3D56EFB7" w14:textId="77777777" w:rsidR="00933D21" w:rsidRPr="00DF781C" w:rsidRDefault="00933D21" w:rsidP="00933D21">
            <w:pPr>
              <w:pStyle w:val="ListParagraph"/>
              <w:numPr>
                <w:ilvl w:val="1"/>
                <w:numId w:val="13"/>
              </w:numPr>
              <w:spacing w:line="276" w:lineRule="auto"/>
              <w:rPr>
                <w:rFonts w:asciiTheme="minorHAnsi" w:hAnsiTheme="minorHAnsi"/>
              </w:rPr>
            </w:pPr>
            <w:r w:rsidRPr="00DF781C">
              <w:rPr>
                <w:rFonts w:asciiTheme="minorHAnsi" w:hAnsiTheme="minorHAnsi"/>
              </w:rPr>
              <w:t xml:space="preserve">Central nervous system: disorientation or alteration in consciousness without focal neurological signs and in the absence of fever or hypotension. </w:t>
            </w:r>
          </w:p>
          <w:p w14:paraId="4B37229C" w14:textId="77777777" w:rsidR="00933D21" w:rsidRPr="00DF781C" w:rsidRDefault="00933D21" w:rsidP="00933D21">
            <w:pPr>
              <w:spacing w:line="276" w:lineRule="auto"/>
              <w:rPr>
                <w:rFonts w:asciiTheme="minorHAnsi" w:hAnsiTheme="minorHAnsi"/>
              </w:rPr>
            </w:pPr>
            <w:r w:rsidRPr="00DF781C">
              <w:rPr>
                <w:rFonts w:asciiTheme="minorHAnsi" w:hAnsiTheme="minorHAnsi"/>
              </w:rPr>
              <w:t xml:space="preserve">A </w:t>
            </w:r>
            <w:r w:rsidRPr="00DF781C">
              <w:rPr>
                <w:rFonts w:asciiTheme="minorHAnsi" w:hAnsiTheme="minorHAnsi"/>
                <w:i/>
              </w:rPr>
              <w:t>confirmed</w:t>
            </w:r>
            <w:r w:rsidRPr="00DF781C">
              <w:rPr>
                <w:rFonts w:asciiTheme="minorHAnsi" w:hAnsiTheme="minorHAnsi"/>
              </w:rPr>
              <w:t xml:space="preserve"> case is one with all the manifestations described above. However, in severe cases, death may occur before </w:t>
            </w:r>
            <w:r w:rsidRPr="00DF781C">
              <w:rPr>
                <w:rFonts w:asciiTheme="minorHAnsi" w:hAnsiTheme="minorHAnsi"/>
              </w:rPr>
              <w:lastRenderedPageBreak/>
              <w:t xml:space="preserve">desquamation develops. </w:t>
            </w:r>
          </w:p>
          <w:p w14:paraId="1D37A06D" w14:textId="77777777" w:rsidR="00933D21" w:rsidRPr="00DF781C" w:rsidRDefault="00933D21" w:rsidP="00933D21">
            <w:pPr>
              <w:spacing w:line="276" w:lineRule="auto"/>
              <w:rPr>
                <w:rFonts w:asciiTheme="minorHAnsi" w:hAnsiTheme="minorHAnsi"/>
              </w:rPr>
            </w:pPr>
            <w:r w:rsidRPr="00DF781C">
              <w:rPr>
                <w:rFonts w:asciiTheme="minorHAnsi" w:hAnsiTheme="minorHAnsi"/>
              </w:rPr>
              <w:t xml:space="preserve">A </w:t>
            </w:r>
            <w:r w:rsidRPr="00DF781C">
              <w:rPr>
                <w:rFonts w:asciiTheme="minorHAnsi" w:hAnsiTheme="minorHAnsi"/>
                <w:i/>
              </w:rPr>
              <w:t>probable</w:t>
            </w:r>
            <w:r w:rsidRPr="00DF781C">
              <w:rPr>
                <w:rFonts w:asciiTheme="minorHAnsi" w:hAnsiTheme="minorHAnsi"/>
              </w:rPr>
              <w:t xml:space="preserve"> case is an illness with all but one of the manifestations above </w:t>
            </w:r>
            <w:r w:rsidRPr="00933D21">
              <w:rPr>
                <w:rFonts w:asciiTheme="minorHAnsi" w:hAnsiTheme="minorHAnsi"/>
              </w:rPr>
              <w:t>(Wharton et al 1990).</w:t>
            </w:r>
            <w:r w:rsidRPr="00DF781C">
              <w:rPr>
                <w:rFonts w:asciiTheme="minorHAnsi" w:hAnsiTheme="minorHAnsi"/>
              </w:rPr>
              <w:t xml:space="preserve"> </w:t>
            </w:r>
          </w:p>
          <w:p w14:paraId="0F3B0652" w14:textId="77777777" w:rsidR="00933D21" w:rsidRPr="00DF781C" w:rsidRDefault="00933D21" w:rsidP="00933D21">
            <w:pPr>
              <w:spacing w:line="276" w:lineRule="auto"/>
              <w:rPr>
                <w:rFonts w:asciiTheme="minorHAnsi" w:hAnsiTheme="minorHAnsi"/>
              </w:rPr>
            </w:pPr>
          </w:p>
          <w:p w14:paraId="7A1242B2" w14:textId="77777777" w:rsidR="00933D21" w:rsidRPr="00DF781C" w:rsidRDefault="00933D21" w:rsidP="00933D21">
            <w:pPr>
              <w:spacing w:line="276" w:lineRule="auto"/>
              <w:rPr>
                <w:rFonts w:asciiTheme="minorHAnsi" w:hAnsiTheme="minorHAnsi"/>
                <w:b/>
              </w:rPr>
            </w:pPr>
            <w:r w:rsidRPr="00DF781C">
              <w:rPr>
                <w:rFonts w:asciiTheme="minorHAnsi" w:hAnsiTheme="minorHAnsi"/>
                <w:b/>
              </w:rPr>
              <w:t>Prognosis</w:t>
            </w:r>
          </w:p>
          <w:p w14:paraId="2995A359" w14:textId="1B72840D" w:rsidR="00933D21" w:rsidRPr="00DF781C" w:rsidRDefault="00933D21" w:rsidP="00933D21">
            <w:pPr>
              <w:spacing w:line="276" w:lineRule="auto"/>
              <w:rPr>
                <w:rFonts w:asciiTheme="minorHAnsi" w:hAnsiTheme="minorHAnsi"/>
              </w:rPr>
            </w:pPr>
            <w:r w:rsidRPr="00DF781C">
              <w:rPr>
                <w:rFonts w:asciiTheme="minorHAnsi" w:hAnsiTheme="minorHAnsi"/>
              </w:rPr>
              <w:t>Streptoc</w:t>
            </w:r>
            <w:r>
              <w:rPr>
                <w:rFonts w:asciiTheme="minorHAnsi" w:hAnsiTheme="minorHAnsi"/>
              </w:rPr>
              <w:t>oc</w:t>
            </w:r>
            <w:r w:rsidRPr="00DF781C">
              <w:rPr>
                <w:rFonts w:asciiTheme="minorHAnsi" w:hAnsiTheme="minorHAnsi"/>
              </w:rPr>
              <w:t xml:space="preserve">cal TSS has a mortality of 30–80% in adults and 5–10% children, with most deaths secondary to shock and respiratory failure. </w:t>
            </w:r>
          </w:p>
          <w:p w14:paraId="2D603352" w14:textId="6CA84A65" w:rsidR="00933D21" w:rsidRPr="00AE68F2" w:rsidRDefault="00933D21" w:rsidP="00933D21">
            <w:pPr>
              <w:spacing w:line="276" w:lineRule="auto"/>
              <w:rPr>
                <w:rFonts w:asciiTheme="minorHAnsi" w:hAnsiTheme="minorHAnsi"/>
              </w:rPr>
            </w:pPr>
            <w:r w:rsidRPr="00DF781C">
              <w:rPr>
                <w:rFonts w:asciiTheme="minorHAnsi" w:hAnsiTheme="minorHAnsi"/>
              </w:rPr>
              <w:t>Staphylococcal TSS can also be fatal, but mostly has a better prognosis.</w:t>
            </w:r>
          </w:p>
        </w:tc>
        <w:tc>
          <w:tcPr>
            <w:tcW w:w="4395" w:type="dxa"/>
          </w:tcPr>
          <w:p w14:paraId="5E9DA59B" w14:textId="547FD654" w:rsidR="00933D21" w:rsidRPr="00AE68F2" w:rsidRDefault="00933D21" w:rsidP="006771CE">
            <w:pPr>
              <w:keepNext/>
              <w:keepLines/>
              <w:spacing w:before="200" w:after="240" w:line="20" w:lineRule="atLeast"/>
              <w:outlineLvl w:val="5"/>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lastRenderedPageBreak/>
              <w:t>Unchanged</w:t>
            </w:r>
          </w:p>
        </w:tc>
      </w:tr>
      <w:tr w:rsidR="00933D21" w:rsidRPr="00AE68F2" w14:paraId="63BF4749" w14:textId="77777777" w:rsidTr="00E457A0">
        <w:tc>
          <w:tcPr>
            <w:tcW w:w="1688" w:type="dxa"/>
            <w:gridSpan w:val="3"/>
            <w:shd w:val="clear" w:color="auto" w:fill="D9D9D9" w:themeFill="background1" w:themeFillShade="D9"/>
          </w:tcPr>
          <w:p w14:paraId="264BA553" w14:textId="77777777" w:rsidR="00933D21" w:rsidRPr="00AE68F2" w:rsidRDefault="00933D21" w:rsidP="00D764F3">
            <w:pPr>
              <w:rPr>
                <w:rFonts w:asciiTheme="minorHAnsi" w:hAnsiTheme="minorHAnsi"/>
                <w:b/>
              </w:rPr>
            </w:pPr>
            <w:r w:rsidRPr="00AE68F2">
              <w:rPr>
                <w:rFonts w:asciiTheme="minorHAnsi" w:hAnsiTheme="minorHAnsi"/>
                <w:b/>
              </w:rPr>
              <w:lastRenderedPageBreak/>
              <w:t>Diagnosis is required</w:t>
            </w:r>
          </w:p>
        </w:tc>
        <w:tc>
          <w:tcPr>
            <w:tcW w:w="1317" w:type="dxa"/>
          </w:tcPr>
          <w:p w14:paraId="3F12379F" w14:textId="77777777" w:rsidR="00933D21" w:rsidRPr="00AE68F2" w:rsidRDefault="00933D21" w:rsidP="00D764F3">
            <w:pPr>
              <w:rPr>
                <w:rFonts w:asciiTheme="minorHAnsi" w:hAnsiTheme="minorHAnsi"/>
              </w:rPr>
            </w:pPr>
          </w:p>
        </w:tc>
        <w:tc>
          <w:tcPr>
            <w:tcW w:w="1223" w:type="dxa"/>
            <w:shd w:val="clear" w:color="auto" w:fill="D9D9D9" w:themeFill="background1" w:themeFillShade="D9"/>
          </w:tcPr>
          <w:p w14:paraId="38EC99C4" w14:textId="77777777" w:rsidR="00933D21" w:rsidRPr="00AE68F2" w:rsidRDefault="00933D21" w:rsidP="00847293">
            <w:pPr>
              <w:rPr>
                <w:rFonts w:asciiTheme="minorHAnsi" w:hAnsiTheme="minorHAnsi"/>
              </w:rPr>
            </w:pPr>
            <w:r w:rsidRPr="00AE68F2">
              <w:rPr>
                <w:rFonts w:asciiTheme="minorHAnsi" w:hAnsiTheme="minorHAnsi"/>
              </w:rPr>
              <w:t>Which Speciality</w:t>
            </w:r>
          </w:p>
        </w:tc>
        <w:tc>
          <w:tcPr>
            <w:tcW w:w="2009" w:type="dxa"/>
          </w:tcPr>
          <w:p w14:paraId="67D3C739" w14:textId="77777777" w:rsidR="00933D21" w:rsidRPr="00AE68F2" w:rsidRDefault="00933D21" w:rsidP="00D764F3">
            <w:pPr>
              <w:rPr>
                <w:rFonts w:asciiTheme="minorHAnsi" w:hAnsiTheme="minorHAnsi"/>
              </w:rPr>
            </w:pPr>
          </w:p>
        </w:tc>
        <w:tc>
          <w:tcPr>
            <w:tcW w:w="1535" w:type="dxa"/>
          </w:tcPr>
          <w:p w14:paraId="428EB970" w14:textId="77777777" w:rsidR="00933D21" w:rsidRPr="00AE68F2" w:rsidRDefault="00933D21" w:rsidP="00D764F3">
            <w:pPr>
              <w:rPr>
                <w:rFonts w:asciiTheme="minorHAnsi" w:hAnsiTheme="minorHAnsi"/>
              </w:rPr>
            </w:pPr>
            <w:r>
              <w:rPr>
                <w:rFonts w:asciiTheme="minorHAnsi" w:hAnsiTheme="minorHAnsi"/>
              </w:rPr>
              <w:t>Yes</w:t>
            </w:r>
          </w:p>
        </w:tc>
        <w:tc>
          <w:tcPr>
            <w:tcW w:w="1242" w:type="dxa"/>
            <w:shd w:val="clear" w:color="auto" w:fill="BFBFBF" w:themeFill="background1" w:themeFillShade="BF"/>
          </w:tcPr>
          <w:p w14:paraId="786CCE75" w14:textId="77777777" w:rsidR="00933D21" w:rsidRPr="00AE68F2" w:rsidRDefault="00933D21">
            <w:pPr>
              <w:spacing w:line="276" w:lineRule="auto"/>
              <w:rPr>
                <w:rFonts w:asciiTheme="minorHAnsi" w:hAnsiTheme="minorHAnsi"/>
              </w:rPr>
            </w:pPr>
            <w:r w:rsidRPr="00AE68F2">
              <w:rPr>
                <w:rFonts w:asciiTheme="minorHAnsi" w:hAnsiTheme="minorHAnsi"/>
              </w:rPr>
              <w:t>Which Speciality</w:t>
            </w:r>
          </w:p>
        </w:tc>
        <w:tc>
          <w:tcPr>
            <w:tcW w:w="1901" w:type="dxa"/>
          </w:tcPr>
          <w:p w14:paraId="0139575E" w14:textId="16C33376" w:rsidR="00933D21" w:rsidRPr="00AE68F2" w:rsidRDefault="00E457A0" w:rsidP="00E457A0">
            <w:pPr>
              <w:spacing w:line="276" w:lineRule="auto"/>
              <w:jc w:val="center"/>
              <w:rPr>
                <w:rFonts w:asciiTheme="minorHAnsi" w:hAnsiTheme="minorHAnsi"/>
              </w:rPr>
            </w:pPr>
            <w:r>
              <w:rPr>
                <w:sz w:val="18"/>
                <w:szCs w:val="18"/>
              </w:rPr>
              <w:t xml:space="preserve">General </w:t>
            </w:r>
            <w:r w:rsidR="00933D21">
              <w:rPr>
                <w:sz w:val="18"/>
                <w:szCs w:val="18"/>
              </w:rPr>
              <w:t xml:space="preserve">Physician/ </w:t>
            </w:r>
            <w:r>
              <w:rPr>
                <w:sz w:val="18"/>
                <w:szCs w:val="18"/>
              </w:rPr>
              <w:t>Intensive C</w:t>
            </w:r>
            <w:r w:rsidR="00933D21" w:rsidRPr="00DF781C">
              <w:rPr>
                <w:sz w:val="18"/>
                <w:szCs w:val="18"/>
              </w:rPr>
              <w:t xml:space="preserve">are </w:t>
            </w:r>
            <w:r>
              <w:rPr>
                <w:sz w:val="18"/>
                <w:szCs w:val="18"/>
              </w:rPr>
              <w:t>Physician /Infectious D</w:t>
            </w:r>
            <w:r w:rsidR="00933D21">
              <w:rPr>
                <w:sz w:val="18"/>
                <w:szCs w:val="18"/>
              </w:rPr>
              <w:t>iseases</w:t>
            </w:r>
            <w:r>
              <w:rPr>
                <w:sz w:val="18"/>
                <w:szCs w:val="18"/>
              </w:rPr>
              <w:t xml:space="preserve"> Physician</w:t>
            </w:r>
          </w:p>
        </w:tc>
        <w:tc>
          <w:tcPr>
            <w:tcW w:w="4395" w:type="dxa"/>
          </w:tcPr>
          <w:p w14:paraId="0FD9642E" w14:textId="77777777" w:rsidR="00933D21" w:rsidRPr="00AE68F2" w:rsidRDefault="00933D21" w:rsidP="004F320E">
            <w:pPr>
              <w:spacing w:line="276" w:lineRule="auto"/>
              <w:rPr>
                <w:rFonts w:asciiTheme="minorHAnsi" w:hAnsiTheme="minorHAnsi"/>
              </w:rPr>
            </w:pPr>
          </w:p>
        </w:tc>
      </w:tr>
      <w:tr w:rsidR="00933D21" w:rsidRPr="00AE68F2" w14:paraId="7A10B46C" w14:textId="77777777" w:rsidTr="00E457A0">
        <w:tc>
          <w:tcPr>
            <w:tcW w:w="1688" w:type="dxa"/>
            <w:gridSpan w:val="3"/>
            <w:shd w:val="clear" w:color="auto" w:fill="D9D9D9" w:themeFill="background1" w:themeFillShade="D9"/>
          </w:tcPr>
          <w:p w14:paraId="3C1EB2E2" w14:textId="77777777" w:rsidR="00933D21" w:rsidRPr="00AE68F2" w:rsidRDefault="00933D21" w:rsidP="00F873C6">
            <w:pPr>
              <w:rPr>
                <w:rFonts w:asciiTheme="minorHAnsi" w:hAnsiTheme="minorHAnsi"/>
                <w:b/>
              </w:rPr>
            </w:pPr>
            <w:r w:rsidRPr="00AE68F2">
              <w:rPr>
                <w:rFonts w:asciiTheme="minorHAnsi" w:hAnsiTheme="minorHAnsi"/>
                <w:b/>
              </w:rPr>
              <w:t>Diagnosis must be verified</w:t>
            </w:r>
          </w:p>
        </w:tc>
        <w:tc>
          <w:tcPr>
            <w:tcW w:w="1317" w:type="dxa"/>
          </w:tcPr>
          <w:p w14:paraId="00C14925" w14:textId="77777777" w:rsidR="00933D21" w:rsidRPr="00AE68F2" w:rsidRDefault="00933D21" w:rsidP="00F873C6">
            <w:pPr>
              <w:rPr>
                <w:rFonts w:asciiTheme="minorHAnsi" w:hAnsiTheme="minorHAnsi"/>
              </w:rPr>
            </w:pPr>
          </w:p>
        </w:tc>
        <w:tc>
          <w:tcPr>
            <w:tcW w:w="1223" w:type="dxa"/>
            <w:shd w:val="clear" w:color="auto" w:fill="BFBFBF" w:themeFill="background1" w:themeFillShade="BF"/>
          </w:tcPr>
          <w:p w14:paraId="121FB708" w14:textId="77777777" w:rsidR="00933D21" w:rsidRPr="00AE68F2" w:rsidRDefault="00933D21" w:rsidP="00F873C6">
            <w:pPr>
              <w:rPr>
                <w:rFonts w:asciiTheme="minorHAnsi" w:hAnsiTheme="minorHAnsi"/>
              </w:rPr>
            </w:pPr>
            <w:r w:rsidRPr="00AE68F2">
              <w:rPr>
                <w:rFonts w:asciiTheme="minorHAnsi" w:hAnsiTheme="minorHAnsi"/>
              </w:rPr>
              <w:t>Which Specialty</w:t>
            </w:r>
          </w:p>
        </w:tc>
        <w:tc>
          <w:tcPr>
            <w:tcW w:w="2009" w:type="dxa"/>
          </w:tcPr>
          <w:p w14:paraId="65BD7649" w14:textId="77777777" w:rsidR="00933D21" w:rsidRPr="00AE68F2" w:rsidRDefault="00933D21" w:rsidP="00F873C6">
            <w:pPr>
              <w:rPr>
                <w:rFonts w:asciiTheme="minorHAnsi" w:hAnsiTheme="minorHAnsi"/>
              </w:rPr>
            </w:pPr>
          </w:p>
        </w:tc>
        <w:tc>
          <w:tcPr>
            <w:tcW w:w="1535" w:type="dxa"/>
          </w:tcPr>
          <w:p w14:paraId="306FC5B2" w14:textId="77777777" w:rsidR="00933D21" w:rsidRPr="00AE68F2" w:rsidRDefault="00933D21" w:rsidP="00F873C6">
            <w:pPr>
              <w:rPr>
                <w:rFonts w:asciiTheme="minorHAnsi" w:hAnsiTheme="minorHAnsi"/>
              </w:rPr>
            </w:pPr>
          </w:p>
        </w:tc>
        <w:tc>
          <w:tcPr>
            <w:tcW w:w="1242" w:type="dxa"/>
            <w:shd w:val="clear" w:color="auto" w:fill="BFBFBF" w:themeFill="background1" w:themeFillShade="BF"/>
          </w:tcPr>
          <w:p w14:paraId="4B000080" w14:textId="77777777" w:rsidR="00933D21" w:rsidRPr="00AE68F2" w:rsidRDefault="00933D21" w:rsidP="00F873C6">
            <w:pPr>
              <w:spacing w:line="276" w:lineRule="auto"/>
              <w:rPr>
                <w:rFonts w:asciiTheme="minorHAnsi" w:hAnsiTheme="minorHAnsi"/>
                <w:b/>
              </w:rPr>
            </w:pPr>
            <w:r w:rsidRPr="00AE68F2">
              <w:rPr>
                <w:rFonts w:asciiTheme="minorHAnsi" w:hAnsiTheme="minorHAnsi"/>
              </w:rPr>
              <w:t>Which Specialty</w:t>
            </w:r>
          </w:p>
        </w:tc>
        <w:tc>
          <w:tcPr>
            <w:tcW w:w="1901" w:type="dxa"/>
          </w:tcPr>
          <w:p w14:paraId="5A20093D" w14:textId="77777777" w:rsidR="00933D21" w:rsidRPr="00AE68F2" w:rsidRDefault="00933D21" w:rsidP="00F873C6">
            <w:pPr>
              <w:spacing w:line="276" w:lineRule="auto"/>
              <w:rPr>
                <w:rFonts w:asciiTheme="minorHAnsi" w:hAnsiTheme="minorHAnsi"/>
              </w:rPr>
            </w:pPr>
          </w:p>
        </w:tc>
        <w:tc>
          <w:tcPr>
            <w:tcW w:w="4395" w:type="dxa"/>
          </w:tcPr>
          <w:p w14:paraId="1A0F41BA" w14:textId="77777777" w:rsidR="00933D21" w:rsidRPr="00AE68F2" w:rsidRDefault="00933D21" w:rsidP="006562E8">
            <w:pPr>
              <w:spacing w:line="276" w:lineRule="auto"/>
              <w:ind w:left="175"/>
              <w:rPr>
                <w:rFonts w:asciiTheme="minorHAnsi" w:hAnsiTheme="minorHAnsi"/>
              </w:rPr>
            </w:pPr>
          </w:p>
        </w:tc>
      </w:tr>
      <w:tr w:rsidR="00933D21" w:rsidRPr="00AE68F2" w14:paraId="75B67ECB" w14:textId="77777777" w:rsidTr="00E457A0">
        <w:tc>
          <w:tcPr>
            <w:tcW w:w="1688" w:type="dxa"/>
            <w:gridSpan w:val="3"/>
            <w:shd w:val="clear" w:color="auto" w:fill="D9D9D9" w:themeFill="background1" w:themeFillShade="D9"/>
          </w:tcPr>
          <w:p w14:paraId="6DE68A98" w14:textId="77777777" w:rsidR="00933D21" w:rsidRPr="00AE68F2" w:rsidRDefault="00933D21" w:rsidP="00D764F3">
            <w:pPr>
              <w:rPr>
                <w:rFonts w:asciiTheme="minorHAnsi" w:hAnsiTheme="minorHAnsi"/>
                <w:b/>
              </w:rPr>
            </w:pPr>
            <w:r w:rsidRPr="00AE68F2">
              <w:rPr>
                <w:rFonts w:asciiTheme="minorHAnsi" w:hAnsiTheme="minorHAnsi"/>
                <w:b/>
              </w:rPr>
              <w:t>Exclusion Criteria</w:t>
            </w:r>
          </w:p>
          <w:p w14:paraId="405FD0B2" w14:textId="23488039" w:rsidR="00933D21" w:rsidRPr="00AE68F2" w:rsidRDefault="00933D21" w:rsidP="00D764F3">
            <w:pPr>
              <w:rPr>
                <w:rFonts w:asciiTheme="minorHAnsi" w:hAnsiTheme="minorHAnsi"/>
              </w:rPr>
            </w:pPr>
            <w:r>
              <w:rPr>
                <w:rFonts w:asciiTheme="minorHAnsi" w:hAnsiTheme="minorHAnsi"/>
              </w:rPr>
              <w:t xml:space="preserve"> </w:t>
            </w:r>
          </w:p>
        </w:tc>
        <w:tc>
          <w:tcPr>
            <w:tcW w:w="4549" w:type="dxa"/>
            <w:gridSpan w:val="3"/>
          </w:tcPr>
          <w:p w14:paraId="36D610A9" w14:textId="77777777" w:rsidR="00933D21" w:rsidRPr="00AE68F2" w:rsidRDefault="00933D21" w:rsidP="00D764F3">
            <w:pPr>
              <w:rPr>
                <w:rFonts w:asciiTheme="minorHAnsi" w:hAnsiTheme="minorHAnsi"/>
              </w:rPr>
            </w:pPr>
          </w:p>
        </w:tc>
        <w:tc>
          <w:tcPr>
            <w:tcW w:w="4678" w:type="dxa"/>
            <w:gridSpan w:val="3"/>
          </w:tcPr>
          <w:p w14:paraId="4D49EE9F" w14:textId="77777777" w:rsidR="00933D21" w:rsidRPr="00AE68F2" w:rsidRDefault="00933D21" w:rsidP="00D764F3">
            <w:pPr>
              <w:rPr>
                <w:rFonts w:asciiTheme="minorHAnsi" w:hAnsiTheme="minorHAnsi"/>
              </w:rPr>
            </w:pPr>
          </w:p>
        </w:tc>
        <w:tc>
          <w:tcPr>
            <w:tcW w:w="4395" w:type="dxa"/>
          </w:tcPr>
          <w:p w14:paraId="285431B0" w14:textId="77777777" w:rsidR="00933D21" w:rsidRPr="00AE68F2" w:rsidRDefault="00933D21" w:rsidP="001E6F4E">
            <w:pPr>
              <w:ind w:right="-1100"/>
              <w:rPr>
                <w:rFonts w:asciiTheme="minorHAnsi" w:hAnsiTheme="minorHAnsi"/>
              </w:rPr>
            </w:pPr>
          </w:p>
        </w:tc>
      </w:tr>
      <w:tr w:rsidR="00933D21" w:rsidRPr="00AE68F2" w14:paraId="6C1BB862" w14:textId="77777777" w:rsidTr="00E457A0">
        <w:tc>
          <w:tcPr>
            <w:tcW w:w="1688" w:type="dxa"/>
            <w:gridSpan w:val="3"/>
            <w:shd w:val="clear" w:color="auto" w:fill="D9D9D9" w:themeFill="background1" w:themeFillShade="D9"/>
          </w:tcPr>
          <w:p w14:paraId="752B24FC" w14:textId="77777777" w:rsidR="00933D21" w:rsidRPr="00AE68F2" w:rsidRDefault="00933D21" w:rsidP="00D764F3">
            <w:pPr>
              <w:rPr>
                <w:rFonts w:asciiTheme="minorHAnsi" w:hAnsiTheme="minorHAnsi"/>
                <w:b/>
              </w:rPr>
            </w:pPr>
            <w:r w:rsidRPr="00AE68F2">
              <w:rPr>
                <w:rFonts w:asciiTheme="minorHAnsi" w:hAnsiTheme="minorHAnsi"/>
                <w:b/>
              </w:rPr>
              <w:t>Indication for use</w:t>
            </w:r>
          </w:p>
        </w:tc>
        <w:tc>
          <w:tcPr>
            <w:tcW w:w="4549" w:type="dxa"/>
            <w:gridSpan w:val="3"/>
          </w:tcPr>
          <w:p w14:paraId="1336BF7A" w14:textId="77777777" w:rsidR="00933D21" w:rsidRPr="00AE68F2" w:rsidRDefault="00933D21" w:rsidP="00AE68F2">
            <w:pPr>
              <w:spacing w:after="225" w:line="360" w:lineRule="atLeast"/>
              <w:rPr>
                <w:rFonts w:asciiTheme="minorHAnsi" w:eastAsia="Times New Roman" w:hAnsiTheme="minorHAnsi" w:cs="Times New Roman"/>
                <w:color w:val="000000"/>
                <w:lang w:eastAsia="en-AU"/>
              </w:rPr>
            </w:pPr>
            <w:r w:rsidRPr="00AE68F2">
              <w:rPr>
                <w:rFonts w:asciiTheme="minorHAnsi" w:eastAsia="Times New Roman" w:hAnsiTheme="minorHAnsi" w:cs="Times New Roman"/>
                <w:b/>
                <w:bCs/>
                <w:color w:val="000000"/>
                <w:lang w:eastAsia="en-AU"/>
              </w:rPr>
              <w:t xml:space="preserve">Streptococcal TSS: </w:t>
            </w:r>
            <w:r w:rsidRPr="00AE68F2">
              <w:rPr>
                <w:rFonts w:asciiTheme="minorHAnsi" w:eastAsia="Times New Roman" w:hAnsiTheme="minorHAnsi" w:cs="Times New Roman"/>
                <w:color w:val="000000"/>
                <w:lang w:eastAsia="en-AU"/>
              </w:rPr>
              <w:t>In view of the high mortality risk, IVIg is indicated for early use in both adults and children.</w:t>
            </w:r>
          </w:p>
          <w:p w14:paraId="365C5C66" w14:textId="77777777" w:rsidR="00933D21" w:rsidRPr="00AE68F2" w:rsidRDefault="00933D21" w:rsidP="00AE68F2">
            <w:pPr>
              <w:spacing w:after="225" w:line="360" w:lineRule="atLeast"/>
              <w:rPr>
                <w:rFonts w:asciiTheme="minorHAnsi" w:eastAsia="Times New Roman" w:hAnsiTheme="minorHAnsi" w:cs="Times New Roman"/>
                <w:color w:val="000000"/>
                <w:lang w:eastAsia="en-AU"/>
              </w:rPr>
            </w:pPr>
            <w:r w:rsidRPr="00AE68F2">
              <w:rPr>
                <w:rFonts w:asciiTheme="minorHAnsi" w:eastAsia="Times New Roman" w:hAnsiTheme="minorHAnsi" w:cs="Times New Roman"/>
                <w:b/>
                <w:bCs/>
                <w:color w:val="000000"/>
                <w:lang w:eastAsia="en-AU"/>
              </w:rPr>
              <w:t>Staphylococcal TSS:</w:t>
            </w:r>
            <w:r w:rsidRPr="00AE68F2">
              <w:rPr>
                <w:rFonts w:asciiTheme="minorHAnsi" w:eastAsia="Times New Roman" w:hAnsiTheme="minorHAnsi" w:cs="Times New Roman"/>
                <w:color w:val="000000"/>
                <w:lang w:eastAsia="en-AU"/>
              </w:rPr>
              <w:t xml:space="preserve"> IVIg is indicated where rapid improvement is not obtained with fluid resuscitation and inotropes.</w:t>
            </w:r>
          </w:p>
          <w:p w14:paraId="10518DEC" w14:textId="77777777" w:rsidR="00933D21" w:rsidRPr="00AE68F2" w:rsidRDefault="00933D21" w:rsidP="00AE68F2">
            <w:pPr>
              <w:spacing w:after="225" w:line="360" w:lineRule="atLeast"/>
              <w:rPr>
                <w:rFonts w:asciiTheme="minorHAnsi" w:eastAsia="Times New Roman" w:hAnsiTheme="minorHAnsi" w:cs="Times New Roman"/>
                <w:color w:val="000000"/>
                <w:lang w:eastAsia="en-AU"/>
              </w:rPr>
            </w:pPr>
            <w:r w:rsidRPr="00AE68F2">
              <w:rPr>
                <w:rFonts w:asciiTheme="minorHAnsi" w:eastAsia="Times New Roman" w:hAnsiTheme="minorHAnsi" w:cs="Times New Roman"/>
                <w:color w:val="000000"/>
                <w:lang w:eastAsia="en-AU"/>
              </w:rPr>
              <w:t>In both conditions IVIg is used in addition to surgical intervention, antibiotic therapy and supportive measures.</w:t>
            </w:r>
          </w:p>
          <w:p w14:paraId="23BE5A8C" w14:textId="77777777" w:rsidR="00933D21" w:rsidRPr="00AE68F2" w:rsidRDefault="00933D21" w:rsidP="000D2614">
            <w:pPr>
              <w:rPr>
                <w:rFonts w:asciiTheme="minorHAnsi" w:hAnsiTheme="minorHAnsi"/>
                <w:b/>
              </w:rPr>
            </w:pPr>
          </w:p>
        </w:tc>
        <w:tc>
          <w:tcPr>
            <w:tcW w:w="4678" w:type="dxa"/>
            <w:gridSpan w:val="3"/>
          </w:tcPr>
          <w:p w14:paraId="58A46F18" w14:textId="707194B5" w:rsidR="00933D21" w:rsidRPr="006518F5" w:rsidRDefault="00933D21" w:rsidP="0056145B">
            <w:pPr>
              <w:spacing w:line="276" w:lineRule="auto"/>
              <w:rPr>
                <w:b/>
              </w:rPr>
            </w:pPr>
            <w:r w:rsidRPr="006518F5">
              <w:rPr>
                <w:b/>
              </w:rPr>
              <w:t xml:space="preserve">Early use in </w:t>
            </w:r>
            <w:r>
              <w:rPr>
                <w:b/>
              </w:rPr>
              <w:t>s</w:t>
            </w:r>
            <w:r w:rsidRPr="006518F5">
              <w:rPr>
                <w:b/>
              </w:rPr>
              <w:t>treptococcal TSS</w:t>
            </w:r>
            <w:r>
              <w:rPr>
                <w:b/>
              </w:rPr>
              <w:t>.</w:t>
            </w:r>
          </w:p>
          <w:p w14:paraId="3746DB70" w14:textId="77777777" w:rsidR="00933D21" w:rsidRDefault="00933D21" w:rsidP="0056145B">
            <w:pPr>
              <w:spacing w:line="276" w:lineRule="auto"/>
            </w:pPr>
          </w:p>
          <w:p w14:paraId="345D2ADC" w14:textId="77777777" w:rsidR="00933D21" w:rsidRDefault="00933D21" w:rsidP="0056145B">
            <w:pPr>
              <w:spacing w:line="276" w:lineRule="auto"/>
            </w:pPr>
          </w:p>
          <w:p w14:paraId="75420539" w14:textId="77777777" w:rsidR="00933D21" w:rsidRDefault="00933D21" w:rsidP="0056145B">
            <w:pPr>
              <w:spacing w:line="276" w:lineRule="auto"/>
            </w:pPr>
          </w:p>
          <w:p w14:paraId="2B6DC931" w14:textId="77777777" w:rsidR="00933D21" w:rsidRPr="006518F5" w:rsidRDefault="00933D21" w:rsidP="0056145B">
            <w:pPr>
              <w:spacing w:line="276" w:lineRule="auto"/>
              <w:rPr>
                <w:b/>
              </w:rPr>
            </w:pPr>
            <w:r w:rsidRPr="006518F5">
              <w:rPr>
                <w:b/>
              </w:rPr>
              <w:t>Staphylococcal TSS where rapid improvement is not obtained with fluid resuscitation</w:t>
            </w:r>
            <w:r>
              <w:rPr>
                <w:b/>
              </w:rPr>
              <w:t>,</w:t>
            </w:r>
            <w:r w:rsidRPr="006518F5">
              <w:rPr>
                <w:b/>
              </w:rPr>
              <w:t xml:space="preserve"> inotropes</w:t>
            </w:r>
            <w:r>
              <w:rPr>
                <w:b/>
              </w:rPr>
              <w:t xml:space="preserve"> surgery, antibiotic therapy and other supportive measures</w:t>
            </w:r>
            <w:r w:rsidRPr="006518F5">
              <w:rPr>
                <w:b/>
              </w:rPr>
              <w:t>.</w:t>
            </w:r>
          </w:p>
          <w:p w14:paraId="2DCC2F13" w14:textId="77777777" w:rsidR="00933D21" w:rsidRPr="00AE68F2" w:rsidRDefault="00933D21" w:rsidP="00D62F40">
            <w:pPr>
              <w:rPr>
                <w:rFonts w:asciiTheme="minorHAnsi" w:hAnsiTheme="minorHAnsi"/>
                <w:b/>
              </w:rPr>
            </w:pPr>
          </w:p>
        </w:tc>
        <w:tc>
          <w:tcPr>
            <w:tcW w:w="4395" w:type="dxa"/>
          </w:tcPr>
          <w:p w14:paraId="0D36BBD1" w14:textId="77777777" w:rsidR="00933D21" w:rsidRPr="00AE68F2" w:rsidRDefault="00933D21" w:rsidP="004F320E">
            <w:pPr>
              <w:rPr>
                <w:rFonts w:asciiTheme="minorHAnsi" w:hAnsiTheme="minorHAnsi"/>
              </w:rPr>
            </w:pPr>
          </w:p>
        </w:tc>
      </w:tr>
      <w:tr w:rsidR="00933D21" w:rsidRPr="00AE68F2" w14:paraId="3C44FF23" w14:textId="77777777" w:rsidTr="00E457A0">
        <w:tc>
          <w:tcPr>
            <w:tcW w:w="1688" w:type="dxa"/>
            <w:gridSpan w:val="3"/>
            <w:shd w:val="clear" w:color="auto" w:fill="D9D9D9" w:themeFill="background1" w:themeFillShade="D9"/>
          </w:tcPr>
          <w:p w14:paraId="7E7D7CDC" w14:textId="77777777" w:rsidR="00933D21" w:rsidRPr="00AE68F2" w:rsidRDefault="00933D21" w:rsidP="00D764F3">
            <w:pPr>
              <w:rPr>
                <w:rFonts w:asciiTheme="minorHAnsi" w:hAnsiTheme="minorHAnsi"/>
                <w:b/>
              </w:rPr>
            </w:pPr>
            <w:r w:rsidRPr="00AE68F2">
              <w:rPr>
                <w:rFonts w:asciiTheme="minorHAnsi" w:hAnsiTheme="minorHAnsi"/>
              </w:rPr>
              <w:br w:type="page"/>
            </w:r>
            <w:r w:rsidRPr="00AE68F2">
              <w:rPr>
                <w:rFonts w:asciiTheme="minorHAnsi" w:hAnsiTheme="minorHAnsi"/>
                <w:b/>
              </w:rPr>
              <w:t>Qualifying Criteria</w:t>
            </w:r>
          </w:p>
        </w:tc>
        <w:tc>
          <w:tcPr>
            <w:tcW w:w="4549" w:type="dxa"/>
            <w:gridSpan w:val="3"/>
          </w:tcPr>
          <w:p w14:paraId="2F2C0E77" w14:textId="77777777" w:rsidR="00933D21" w:rsidRPr="00AE68F2" w:rsidRDefault="00933D21" w:rsidP="0062160C">
            <w:pPr>
              <w:numPr>
                <w:ilvl w:val="0"/>
                <w:numId w:val="6"/>
              </w:numPr>
              <w:spacing w:before="100" w:beforeAutospacing="1" w:after="150" w:line="360" w:lineRule="atLeast"/>
              <w:rPr>
                <w:rFonts w:asciiTheme="minorHAnsi" w:eastAsia="Times New Roman" w:hAnsiTheme="minorHAnsi" w:cs="Times New Roman"/>
                <w:color w:val="000000"/>
                <w:lang w:eastAsia="en-AU"/>
              </w:rPr>
            </w:pPr>
            <w:r w:rsidRPr="00AE68F2">
              <w:rPr>
                <w:rFonts w:asciiTheme="minorHAnsi" w:eastAsia="Times New Roman" w:hAnsiTheme="minorHAnsi" w:cs="Times New Roman"/>
                <w:color w:val="000000"/>
                <w:lang w:eastAsia="en-AU"/>
              </w:rPr>
              <w:t xml:space="preserve">Diagnosis of streptococcal or staphylococcal TSS in accordance with </w:t>
            </w:r>
            <w:r w:rsidRPr="00AE68F2">
              <w:rPr>
                <w:rFonts w:asciiTheme="minorHAnsi" w:eastAsia="Times New Roman" w:hAnsiTheme="minorHAnsi" w:cs="Times New Roman"/>
                <w:color w:val="000000"/>
                <w:lang w:eastAsia="en-AU"/>
              </w:rPr>
              <w:lastRenderedPageBreak/>
              <w:t>criteria listed above, preferably with isolation of organism;</w:t>
            </w:r>
          </w:p>
          <w:p w14:paraId="4833BF86" w14:textId="77777777" w:rsidR="00933D21" w:rsidRPr="00AE68F2" w:rsidRDefault="00933D21" w:rsidP="00AE68F2">
            <w:pPr>
              <w:spacing w:after="225" w:line="360" w:lineRule="atLeast"/>
              <w:rPr>
                <w:rFonts w:asciiTheme="minorHAnsi" w:eastAsia="Times New Roman" w:hAnsiTheme="minorHAnsi" w:cs="Times New Roman"/>
                <w:color w:val="000000"/>
                <w:lang w:eastAsia="en-AU"/>
              </w:rPr>
            </w:pPr>
            <w:r w:rsidRPr="00AE68F2">
              <w:rPr>
                <w:rFonts w:asciiTheme="minorHAnsi" w:eastAsia="Times New Roman" w:hAnsiTheme="minorHAnsi" w:cs="Times New Roman"/>
                <w:color w:val="000000"/>
                <w:lang w:eastAsia="en-AU"/>
              </w:rPr>
              <w:t>AND</w:t>
            </w:r>
          </w:p>
          <w:p w14:paraId="04475EC9" w14:textId="77777777" w:rsidR="00933D21" w:rsidRPr="00AE68F2" w:rsidRDefault="00933D21" w:rsidP="0062160C">
            <w:pPr>
              <w:numPr>
                <w:ilvl w:val="0"/>
                <w:numId w:val="7"/>
              </w:numPr>
              <w:spacing w:before="100" w:beforeAutospacing="1" w:after="150" w:line="360" w:lineRule="atLeast"/>
              <w:rPr>
                <w:rFonts w:asciiTheme="minorHAnsi" w:eastAsia="Times New Roman" w:hAnsiTheme="minorHAnsi" w:cs="Times New Roman"/>
                <w:color w:val="000000"/>
                <w:lang w:eastAsia="en-AU"/>
              </w:rPr>
            </w:pPr>
            <w:r w:rsidRPr="00AE68F2">
              <w:rPr>
                <w:rFonts w:asciiTheme="minorHAnsi" w:eastAsia="Times New Roman" w:hAnsiTheme="minorHAnsi" w:cs="Times New Roman"/>
                <w:color w:val="000000"/>
                <w:lang w:eastAsia="en-AU"/>
              </w:rPr>
              <w:t>Failure to achieve rapid improvement with fluid resuscitation, inotropes, surgery, antibiotic therapy and other supportive measures.</w:t>
            </w:r>
          </w:p>
          <w:p w14:paraId="410BF619" w14:textId="77777777" w:rsidR="00933D21" w:rsidRPr="00AE68F2" w:rsidRDefault="00933D21" w:rsidP="00CA345D">
            <w:pPr>
              <w:rPr>
                <w:rFonts w:asciiTheme="minorHAnsi" w:hAnsiTheme="minorHAnsi"/>
                <w:b/>
              </w:rPr>
            </w:pPr>
          </w:p>
        </w:tc>
        <w:tc>
          <w:tcPr>
            <w:tcW w:w="4678" w:type="dxa"/>
            <w:gridSpan w:val="3"/>
          </w:tcPr>
          <w:p w14:paraId="02ECF5F3" w14:textId="7DC174E2" w:rsidR="00933D21" w:rsidRPr="00BD6B4E" w:rsidRDefault="00933D21" w:rsidP="0056145B">
            <w:pPr>
              <w:spacing w:line="276" w:lineRule="auto"/>
              <w:rPr>
                <w:b/>
              </w:rPr>
            </w:pPr>
            <w:r w:rsidRPr="00BD6B4E">
              <w:rPr>
                <w:b/>
              </w:rPr>
              <w:lastRenderedPageBreak/>
              <w:t xml:space="preserve">Early use in </w:t>
            </w:r>
            <w:r>
              <w:rPr>
                <w:b/>
              </w:rPr>
              <w:t>s</w:t>
            </w:r>
            <w:r w:rsidRPr="00BD6B4E">
              <w:rPr>
                <w:b/>
              </w:rPr>
              <w:t>treptococcal TSS</w:t>
            </w:r>
            <w:r>
              <w:rPr>
                <w:b/>
              </w:rPr>
              <w:t>.</w:t>
            </w:r>
          </w:p>
          <w:p w14:paraId="50AF4798" w14:textId="75479A7C" w:rsidR="00933D21" w:rsidRPr="00E457A0" w:rsidRDefault="00933D21" w:rsidP="00E457A0">
            <w:pPr>
              <w:pStyle w:val="ListParagraph"/>
              <w:numPr>
                <w:ilvl w:val="0"/>
                <w:numId w:val="16"/>
              </w:numPr>
              <w:rPr>
                <w:rFonts w:asciiTheme="minorHAnsi" w:hAnsiTheme="minorHAnsi"/>
              </w:rPr>
            </w:pPr>
            <w:r w:rsidRPr="00E457A0">
              <w:rPr>
                <w:rFonts w:asciiTheme="minorHAnsi" w:hAnsiTheme="minorHAnsi"/>
              </w:rPr>
              <w:t xml:space="preserve">Probable or confirmed diagnosis of </w:t>
            </w:r>
            <w:r w:rsidRPr="00E457A0">
              <w:rPr>
                <w:rFonts w:asciiTheme="minorHAnsi" w:hAnsiTheme="minorHAnsi"/>
              </w:rPr>
              <w:lastRenderedPageBreak/>
              <w:t>streptococcal TSS.</w:t>
            </w:r>
          </w:p>
          <w:p w14:paraId="7BEA61DE" w14:textId="56FE7C75" w:rsidR="00933D21" w:rsidRPr="00BD6B4E" w:rsidRDefault="00933D21" w:rsidP="0056145B">
            <w:pPr>
              <w:spacing w:line="276" w:lineRule="auto"/>
              <w:rPr>
                <w:rFonts w:asciiTheme="minorHAnsi" w:eastAsia="Times New Roman" w:hAnsiTheme="minorHAnsi" w:cs="Times New Roman"/>
                <w:lang w:eastAsia="en-AU"/>
              </w:rPr>
            </w:pPr>
            <w:r w:rsidRPr="00BD6B4E">
              <w:rPr>
                <w:rFonts w:asciiTheme="minorHAnsi" w:eastAsia="Times New Roman" w:hAnsiTheme="minorHAnsi" w:cs="Times New Roman"/>
                <w:lang w:eastAsia="en-AU"/>
              </w:rPr>
              <w:t>AND</w:t>
            </w:r>
          </w:p>
          <w:p w14:paraId="69B97436" w14:textId="3292A11B" w:rsidR="00933D21" w:rsidRPr="00E457A0" w:rsidRDefault="00933D21" w:rsidP="00E457A0">
            <w:pPr>
              <w:pStyle w:val="ListParagraph"/>
              <w:numPr>
                <w:ilvl w:val="0"/>
                <w:numId w:val="16"/>
              </w:numPr>
              <w:rPr>
                <w:rFonts w:asciiTheme="minorHAnsi" w:hAnsiTheme="minorHAnsi"/>
              </w:rPr>
            </w:pPr>
            <w:r w:rsidRPr="00E457A0">
              <w:rPr>
                <w:rFonts w:asciiTheme="minorHAnsi" w:hAnsiTheme="minorHAnsi"/>
              </w:rPr>
              <w:t>Failure to achieve rapid improvement with supportive measures.</w:t>
            </w:r>
          </w:p>
          <w:p w14:paraId="0AAC317C" w14:textId="77777777" w:rsidR="00933D21" w:rsidRPr="00BD6B4E" w:rsidRDefault="00933D21" w:rsidP="0056145B">
            <w:pPr>
              <w:spacing w:line="276" w:lineRule="auto"/>
              <w:rPr>
                <w:rFonts w:asciiTheme="minorHAnsi" w:eastAsia="Times New Roman" w:hAnsiTheme="minorHAnsi" w:cs="Times New Roman"/>
                <w:lang w:eastAsia="en-AU"/>
              </w:rPr>
            </w:pPr>
          </w:p>
          <w:p w14:paraId="0AF30AD0" w14:textId="77777777" w:rsidR="00933D21" w:rsidRPr="00BD6B4E" w:rsidRDefault="00933D21" w:rsidP="0056145B">
            <w:pPr>
              <w:spacing w:line="276" w:lineRule="auto"/>
              <w:rPr>
                <w:b/>
              </w:rPr>
            </w:pPr>
            <w:r w:rsidRPr="00BD6B4E">
              <w:rPr>
                <w:b/>
              </w:rPr>
              <w:t>Staphylococcal TSS where rapid improvement is not obtained with fluid resuscitation, inotropes</w:t>
            </w:r>
            <w:r>
              <w:rPr>
                <w:b/>
              </w:rPr>
              <w:t>,</w:t>
            </w:r>
            <w:r w:rsidRPr="00BD6B4E">
              <w:rPr>
                <w:b/>
              </w:rPr>
              <w:t xml:space="preserve"> surgery, antibiotic therapy and other supportive measures.</w:t>
            </w:r>
          </w:p>
          <w:p w14:paraId="28F279D9" w14:textId="77777777" w:rsidR="00933D21" w:rsidRDefault="00933D21" w:rsidP="0056145B">
            <w:pPr>
              <w:rPr>
                <w:rFonts w:asciiTheme="minorHAnsi" w:hAnsiTheme="minorHAnsi"/>
              </w:rPr>
            </w:pPr>
          </w:p>
          <w:p w14:paraId="238E8A39" w14:textId="502ACA4E" w:rsidR="00933D21" w:rsidRPr="00E457A0" w:rsidRDefault="00933D21" w:rsidP="00E457A0">
            <w:pPr>
              <w:pStyle w:val="ListParagraph"/>
              <w:numPr>
                <w:ilvl w:val="0"/>
                <w:numId w:val="16"/>
              </w:numPr>
              <w:rPr>
                <w:rFonts w:asciiTheme="minorHAnsi" w:hAnsiTheme="minorHAnsi"/>
              </w:rPr>
            </w:pPr>
            <w:r w:rsidRPr="00E457A0">
              <w:rPr>
                <w:rFonts w:asciiTheme="minorHAnsi" w:hAnsiTheme="minorHAnsi"/>
              </w:rPr>
              <w:t>Probable or confirmed diagnosis of staphylococcal TSS.</w:t>
            </w:r>
          </w:p>
          <w:p w14:paraId="3A2CCA4F" w14:textId="14A00368" w:rsidR="00933D21" w:rsidRPr="00BD6B4E" w:rsidRDefault="00933D21" w:rsidP="0056145B">
            <w:pPr>
              <w:spacing w:line="276" w:lineRule="auto"/>
              <w:rPr>
                <w:rFonts w:asciiTheme="minorHAnsi" w:eastAsia="Times New Roman" w:hAnsiTheme="minorHAnsi" w:cs="Times New Roman"/>
                <w:lang w:eastAsia="en-AU"/>
              </w:rPr>
            </w:pPr>
            <w:r w:rsidRPr="00BD6B4E">
              <w:rPr>
                <w:rFonts w:asciiTheme="minorHAnsi" w:eastAsia="Times New Roman" w:hAnsiTheme="minorHAnsi" w:cs="Times New Roman"/>
                <w:lang w:eastAsia="en-AU"/>
              </w:rPr>
              <w:t>AND</w:t>
            </w:r>
          </w:p>
          <w:p w14:paraId="635A1622" w14:textId="2B26BEAB" w:rsidR="00933D21" w:rsidRPr="00BD6B4E" w:rsidRDefault="00933D21" w:rsidP="00E457A0">
            <w:pPr>
              <w:pStyle w:val="ListParagraph"/>
              <w:numPr>
                <w:ilvl w:val="0"/>
                <w:numId w:val="16"/>
              </w:numPr>
            </w:pPr>
            <w:r w:rsidRPr="00BD6B4E">
              <w:t>Failure to achieve rapid improvement with supportive measures</w:t>
            </w:r>
            <w:r>
              <w:t>.</w:t>
            </w:r>
          </w:p>
          <w:p w14:paraId="1210039A" w14:textId="77777777" w:rsidR="00933D21" w:rsidRPr="00AE68F2" w:rsidRDefault="00933D21" w:rsidP="00BD6B4E">
            <w:pPr>
              <w:pStyle w:val="ListParagraph"/>
              <w:spacing w:line="276" w:lineRule="auto"/>
              <w:rPr>
                <w:rFonts w:asciiTheme="minorHAnsi" w:hAnsiTheme="minorHAnsi"/>
              </w:rPr>
            </w:pPr>
          </w:p>
        </w:tc>
        <w:tc>
          <w:tcPr>
            <w:tcW w:w="4395" w:type="dxa"/>
          </w:tcPr>
          <w:p w14:paraId="0B66D7FB" w14:textId="1157D657" w:rsidR="00933D21" w:rsidRPr="00AE68F2" w:rsidRDefault="006F4049" w:rsidP="006F4049">
            <w:pPr>
              <w:keepNext/>
              <w:keepLines/>
              <w:outlineLvl w:val="5"/>
              <w:rPr>
                <w:rFonts w:asciiTheme="minorHAnsi" w:hAnsiTheme="minorHAnsi"/>
              </w:rPr>
            </w:pPr>
            <w:r>
              <w:rPr>
                <w:rFonts w:asciiTheme="minorHAnsi" w:hAnsiTheme="minorHAnsi"/>
              </w:rPr>
              <w:lastRenderedPageBreak/>
              <w:t xml:space="preserve">Qualifying criteria have been defined in line with existing criteria </w:t>
            </w:r>
            <w:r w:rsidR="001A097E">
              <w:rPr>
                <w:rFonts w:asciiTheme="minorHAnsi" w:hAnsiTheme="minorHAnsi"/>
              </w:rPr>
              <w:t>- requiring</w:t>
            </w:r>
            <w:r>
              <w:rPr>
                <w:rFonts w:asciiTheme="minorHAnsi" w:hAnsiTheme="minorHAnsi"/>
              </w:rPr>
              <w:t xml:space="preserve"> confirmed or </w:t>
            </w:r>
            <w:r>
              <w:rPr>
                <w:rFonts w:asciiTheme="minorHAnsi" w:hAnsiTheme="minorHAnsi"/>
              </w:rPr>
              <w:lastRenderedPageBreak/>
              <w:t xml:space="preserve">suspected diagnosis and failure to achieve rapid improvement with supportive measures.   </w:t>
            </w:r>
          </w:p>
        </w:tc>
      </w:tr>
      <w:tr w:rsidR="00933D21" w:rsidRPr="00AE68F2" w14:paraId="2EB48B4B" w14:textId="77777777" w:rsidTr="00E457A0">
        <w:trPr>
          <w:gridBefore w:val="1"/>
          <w:wBefore w:w="25" w:type="dxa"/>
        </w:trPr>
        <w:tc>
          <w:tcPr>
            <w:tcW w:w="1663" w:type="dxa"/>
            <w:gridSpan w:val="2"/>
            <w:shd w:val="clear" w:color="auto" w:fill="D9D9D9" w:themeFill="background1" w:themeFillShade="D9"/>
          </w:tcPr>
          <w:p w14:paraId="3DFCB509" w14:textId="77777777" w:rsidR="00933D21" w:rsidRPr="00AE68F2" w:rsidRDefault="00933D21" w:rsidP="00D764F3">
            <w:pPr>
              <w:rPr>
                <w:rFonts w:asciiTheme="minorHAnsi" w:hAnsiTheme="minorHAnsi"/>
                <w:b/>
              </w:rPr>
            </w:pPr>
            <w:r w:rsidRPr="00AE68F2">
              <w:rPr>
                <w:rFonts w:asciiTheme="minorHAnsi" w:hAnsiTheme="minorHAnsi"/>
              </w:rPr>
              <w:lastRenderedPageBreak/>
              <w:br w:type="page"/>
            </w:r>
            <w:r w:rsidRPr="00AE68F2">
              <w:rPr>
                <w:rFonts w:asciiTheme="minorHAnsi" w:hAnsiTheme="minorHAnsi"/>
                <w:b/>
              </w:rPr>
              <w:t>Review Criteria</w:t>
            </w:r>
          </w:p>
        </w:tc>
        <w:tc>
          <w:tcPr>
            <w:tcW w:w="4549" w:type="dxa"/>
            <w:gridSpan w:val="3"/>
          </w:tcPr>
          <w:p w14:paraId="22B9F383" w14:textId="77777777" w:rsidR="00933D21" w:rsidRPr="00AE68F2" w:rsidRDefault="00933D21" w:rsidP="00767F78">
            <w:pPr>
              <w:tabs>
                <w:tab w:val="left" w:pos="2629"/>
              </w:tabs>
              <w:spacing w:before="100" w:beforeAutospacing="1" w:after="100" w:afterAutospacing="1"/>
              <w:rPr>
                <w:rFonts w:asciiTheme="minorHAnsi" w:eastAsia="Times New Roman" w:hAnsiTheme="minorHAnsi" w:cs="Times New Roman"/>
                <w:color w:val="000000"/>
                <w:lang w:eastAsia="en-AU"/>
              </w:rPr>
            </w:pPr>
            <w:r w:rsidRPr="00AE68F2">
              <w:rPr>
                <w:rFonts w:asciiTheme="minorHAnsi" w:eastAsia="Times New Roman" w:hAnsiTheme="minorHAnsi" w:cs="Times New Roman"/>
                <w:color w:val="000000"/>
                <w:lang w:eastAsia="en-AU"/>
              </w:rPr>
              <w:t>N/A</w:t>
            </w:r>
          </w:p>
        </w:tc>
        <w:tc>
          <w:tcPr>
            <w:tcW w:w="4678" w:type="dxa"/>
            <w:gridSpan w:val="3"/>
          </w:tcPr>
          <w:p w14:paraId="52BFA8E1" w14:textId="6A9F3FE0" w:rsidR="00933D21" w:rsidRPr="0062160C" w:rsidRDefault="00933D21" w:rsidP="00BD6B4E">
            <w:pPr>
              <w:spacing w:line="276" w:lineRule="auto"/>
              <w:rPr>
                <w:b/>
              </w:rPr>
            </w:pPr>
            <w:r w:rsidRPr="0062160C">
              <w:rPr>
                <w:b/>
              </w:rPr>
              <w:t xml:space="preserve">Early use in </w:t>
            </w:r>
            <w:r>
              <w:rPr>
                <w:b/>
              </w:rPr>
              <w:t>s</w:t>
            </w:r>
            <w:r w:rsidRPr="0062160C">
              <w:rPr>
                <w:b/>
              </w:rPr>
              <w:t>treptococcal TSS</w:t>
            </w:r>
            <w:r>
              <w:rPr>
                <w:b/>
              </w:rPr>
              <w:t>.</w:t>
            </w:r>
          </w:p>
          <w:p w14:paraId="1DBE93BC" w14:textId="77777777" w:rsidR="00933D21" w:rsidRPr="0062160C" w:rsidRDefault="00933D21" w:rsidP="00BD6B4E">
            <w:pPr>
              <w:spacing w:line="276" w:lineRule="auto"/>
              <w:rPr>
                <w:b/>
              </w:rPr>
            </w:pPr>
          </w:p>
          <w:p w14:paraId="0DF067AC" w14:textId="6853DA41" w:rsidR="00933D21" w:rsidRDefault="00E457A0" w:rsidP="00BD6B4E">
            <w:pPr>
              <w:spacing w:line="276" w:lineRule="auto"/>
            </w:pPr>
            <w:r>
              <w:t xml:space="preserve">Review is not mandated for this indication however the following criteria may be useful in assessing the effectiveness of therapy. </w:t>
            </w:r>
          </w:p>
          <w:p w14:paraId="59AF63ED" w14:textId="77777777" w:rsidR="00E457A0" w:rsidRDefault="00E457A0" w:rsidP="00BD6B4E">
            <w:pPr>
              <w:spacing w:line="276" w:lineRule="auto"/>
            </w:pPr>
          </w:p>
          <w:p w14:paraId="73E8D164" w14:textId="45B5EB1B" w:rsidR="00E457A0" w:rsidRPr="003F1C34" w:rsidRDefault="00E457A0" w:rsidP="00BD6B4E">
            <w:pPr>
              <w:spacing w:line="276" w:lineRule="auto"/>
              <w:rPr>
                <w:b/>
              </w:rPr>
            </w:pPr>
            <w:r w:rsidRPr="003F1C34">
              <w:rPr>
                <w:b/>
              </w:rPr>
              <w:t xml:space="preserve">Outcome data to be measured </w:t>
            </w:r>
          </w:p>
          <w:p w14:paraId="1E65553F" w14:textId="29CF06D4" w:rsidR="00933D21" w:rsidRPr="003F1C34" w:rsidRDefault="00E457A0" w:rsidP="0062160C">
            <w:pPr>
              <w:pStyle w:val="ListParagraph"/>
              <w:numPr>
                <w:ilvl w:val="0"/>
                <w:numId w:val="10"/>
              </w:numPr>
              <w:spacing w:line="276" w:lineRule="auto"/>
            </w:pPr>
            <w:r w:rsidRPr="003F1C34">
              <w:t>O</w:t>
            </w:r>
            <w:r w:rsidR="00933D21" w:rsidRPr="003F1C34">
              <w:t>ne month survival</w:t>
            </w:r>
          </w:p>
          <w:p w14:paraId="3084140D" w14:textId="39DA3865" w:rsidR="00933D21" w:rsidRPr="003F1C34" w:rsidRDefault="00E457A0" w:rsidP="0062160C">
            <w:pPr>
              <w:pStyle w:val="ListParagraph"/>
              <w:numPr>
                <w:ilvl w:val="0"/>
                <w:numId w:val="8"/>
              </w:numPr>
              <w:spacing w:line="276" w:lineRule="auto"/>
              <w:ind w:left="740"/>
            </w:pPr>
            <w:r w:rsidRPr="003F1C34">
              <w:t>D</w:t>
            </w:r>
            <w:r w:rsidR="00933D21" w:rsidRPr="003F1C34">
              <w:t>ocumented clinical response to Ig therapy.</w:t>
            </w:r>
          </w:p>
          <w:p w14:paraId="5601F91C" w14:textId="77777777" w:rsidR="00933D21" w:rsidRPr="004A44C9" w:rsidRDefault="00933D21" w:rsidP="00BD6B4E">
            <w:pPr>
              <w:pStyle w:val="ListParagraph"/>
              <w:spacing w:line="276" w:lineRule="auto"/>
              <w:ind w:left="740"/>
              <w:rPr>
                <w:sz w:val="18"/>
                <w:szCs w:val="18"/>
              </w:rPr>
            </w:pPr>
          </w:p>
          <w:p w14:paraId="24BE7E77" w14:textId="77777777" w:rsidR="00933D21" w:rsidRPr="004A44C9" w:rsidRDefault="00933D21" w:rsidP="00BD6B4E">
            <w:pPr>
              <w:spacing w:line="276" w:lineRule="auto"/>
              <w:rPr>
                <w:sz w:val="18"/>
                <w:szCs w:val="18"/>
              </w:rPr>
            </w:pPr>
          </w:p>
          <w:p w14:paraId="7F7B4EDA" w14:textId="5AC5F871" w:rsidR="00933D21" w:rsidRDefault="00933D21" w:rsidP="00BD6B4E">
            <w:pPr>
              <w:spacing w:line="276" w:lineRule="auto"/>
              <w:rPr>
                <w:b/>
              </w:rPr>
            </w:pPr>
            <w:r w:rsidRPr="0062160C">
              <w:rPr>
                <w:b/>
              </w:rPr>
              <w:t xml:space="preserve">Staphylococcal TSS where rapid improvement is not obtained with fluid resuscitation, inotropes surgery, antibiotic therapy and other supportive </w:t>
            </w:r>
            <w:r w:rsidRPr="0062160C">
              <w:rPr>
                <w:b/>
              </w:rPr>
              <w:lastRenderedPageBreak/>
              <w:t>measures.</w:t>
            </w:r>
            <w:r w:rsidRPr="0062160C">
              <w:rPr>
                <w:b/>
              </w:rPr>
              <w:tab/>
            </w:r>
          </w:p>
          <w:p w14:paraId="67F4F97A" w14:textId="77777777" w:rsidR="00933D21" w:rsidRPr="0062160C" w:rsidRDefault="00933D21" w:rsidP="00BD6B4E">
            <w:pPr>
              <w:spacing w:line="276" w:lineRule="auto"/>
              <w:rPr>
                <w:b/>
              </w:rPr>
            </w:pPr>
          </w:p>
          <w:p w14:paraId="1B4F79FF" w14:textId="77777777" w:rsidR="00E457A0" w:rsidRPr="003F1C34" w:rsidRDefault="00E457A0" w:rsidP="00E457A0">
            <w:pPr>
              <w:spacing w:line="276" w:lineRule="auto"/>
            </w:pPr>
            <w:r>
              <w:t>Review is not mandated for this indication however the following criteria may be useful in assessing t</w:t>
            </w:r>
            <w:r w:rsidRPr="003F1C34">
              <w:t xml:space="preserve">he effectiveness of therapy. </w:t>
            </w:r>
          </w:p>
          <w:p w14:paraId="5307DF56" w14:textId="77777777" w:rsidR="00E457A0" w:rsidRPr="003F1C34" w:rsidRDefault="00E457A0" w:rsidP="00E457A0">
            <w:pPr>
              <w:spacing w:line="276" w:lineRule="auto"/>
            </w:pPr>
          </w:p>
          <w:p w14:paraId="700FCCD1" w14:textId="77777777" w:rsidR="00E457A0" w:rsidRPr="003F1C34" w:rsidRDefault="00E457A0" w:rsidP="00E457A0">
            <w:pPr>
              <w:spacing w:line="276" w:lineRule="auto"/>
              <w:rPr>
                <w:b/>
              </w:rPr>
            </w:pPr>
            <w:r w:rsidRPr="003F1C34">
              <w:rPr>
                <w:b/>
              </w:rPr>
              <w:t xml:space="preserve">Outcome data to be measured </w:t>
            </w:r>
          </w:p>
          <w:p w14:paraId="29316151" w14:textId="77777777" w:rsidR="00E457A0" w:rsidRPr="003F1C34" w:rsidRDefault="00E457A0" w:rsidP="00E457A0">
            <w:pPr>
              <w:pStyle w:val="ListParagraph"/>
              <w:numPr>
                <w:ilvl w:val="0"/>
                <w:numId w:val="10"/>
              </w:numPr>
              <w:spacing w:line="276" w:lineRule="auto"/>
            </w:pPr>
            <w:r w:rsidRPr="003F1C34">
              <w:t>One month survival</w:t>
            </w:r>
          </w:p>
          <w:p w14:paraId="666F2FC6" w14:textId="77777777" w:rsidR="00E457A0" w:rsidRPr="003F1C34" w:rsidRDefault="00E457A0" w:rsidP="00E457A0">
            <w:pPr>
              <w:pStyle w:val="ListParagraph"/>
              <w:numPr>
                <w:ilvl w:val="0"/>
                <w:numId w:val="8"/>
              </w:numPr>
              <w:spacing w:line="276" w:lineRule="auto"/>
              <w:ind w:left="740"/>
            </w:pPr>
            <w:r w:rsidRPr="003F1C34">
              <w:t>Documented clinical response to Ig therapy.</w:t>
            </w:r>
          </w:p>
          <w:p w14:paraId="6D0AA816" w14:textId="77777777" w:rsidR="00933D21" w:rsidRPr="00AE68F2" w:rsidRDefault="00933D21" w:rsidP="00AC612A">
            <w:pPr>
              <w:spacing w:line="20" w:lineRule="atLeast"/>
              <w:rPr>
                <w:rFonts w:asciiTheme="minorHAnsi" w:hAnsiTheme="minorHAnsi"/>
              </w:rPr>
            </w:pPr>
          </w:p>
        </w:tc>
        <w:tc>
          <w:tcPr>
            <w:tcW w:w="4395" w:type="dxa"/>
          </w:tcPr>
          <w:p w14:paraId="4CDF4476" w14:textId="77777777" w:rsidR="00933D21" w:rsidRDefault="00933D21" w:rsidP="00A138FA">
            <w:pPr>
              <w:spacing w:after="200"/>
              <w:rPr>
                <w:rFonts w:asciiTheme="minorHAnsi" w:hAnsiTheme="minorHAnsi"/>
              </w:rPr>
            </w:pPr>
          </w:p>
          <w:p w14:paraId="2C522F12" w14:textId="77777777" w:rsidR="00933D21" w:rsidRDefault="00933D21" w:rsidP="00A138FA">
            <w:pPr>
              <w:spacing w:after="200"/>
              <w:rPr>
                <w:rFonts w:asciiTheme="minorHAnsi" w:hAnsiTheme="minorHAnsi"/>
              </w:rPr>
            </w:pPr>
            <w:r>
              <w:rPr>
                <w:rFonts w:asciiTheme="minorHAnsi" w:hAnsiTheme="minorHAnsi"/>
              </w:rPr>
              <w:t xml:space="preserve">Given that TSS requires one-off treatment, there is no review with automatic patient outcome data collection. Outcome measures have been developed including: </w:t>
            </w:r>
          </w:p>
          <w:p w14:paraId="67E494F6" w14:textId="77777777" w:rsidR="00933D21" w:rsidRPr="006F4049" w:rsidRDefault="00933D21" w:rsidP="0062160C">
            <w:pPr>
              <w:pStyle w:val="ListParagraph"/>
              <w:numPr>
                <w:ilvl w:val="0"/>
                <w:numId w:val="8"/>
              </w:numPr>
              <w:spacing w:line="276" w:lineRule="auto"/>
              <w:ind w:left="740"/>
            </w:pPr>
            <w:r w:rsidRPr="006F4049">
              <w:t xml:space="preserve">One month survival </w:t>
            </w:r>
          </w:p>
          <w:p w14:paraId="47338FE3" w14:textId="77777777" w:rsidR="00933D21" w:rsidRPr="006F4049" w:rsidRDefault="00933D21" w:rsidP="0062160C">
            <w:pPr>
              <w:pStyle w:val="ListParagraph"/>
              <w:numPr>
                <w:ilvl w:val="0"/>
                <w:numId w:val="9"/>
              </w:numPr>
              <w:spacing w:line="276" w:lineRule="auto"/>
            </w:pPr>
            <w:r w:rsidRPr="006F4049">
              <w:t xml:space="preserve">Patient alive, and recovered </w:t>
            </w:r>
          </w:p>
          <w:p w14:paraId="2023CE3C" w14:textId="77777777" w:rsidR="00933D21" w:rsidRPr="006F4049" w:rsidRDefault="00933D21" w:rsidP="0062160C">
            <w:pPr>
              <w:pStyle w:val="ListParagraph"/>
              <w:numPr>
                <w:ilvl w:val="0"/>
                <w:numId w:val="9"/>
              </w:numPr>
              <w:spacing w:line="276" w:lineRule="auto"/>
            </w:pPr>
            <w:r w:rsidRPr="006F4049">
              <w:t>Patient still in ICU</w:t>
            </w:r>
          </w:p>
          <w:p w14:paraId="18AB9450" w14:textId="77777777" w:rsidR="00933D21" w:rsidRPr="006F4049" w:rsidRDefault="00933D21" w:rsidP="0062160C">
            <w:pPr>
              <w:pStyle w:val="ListParagraph"/>
              <w:numPr>
                <w:ilvl w:val="0"/>
                <w:numId w:val="9"/>
              </w:numPr>
              <w:spacing w:line="276" w:lineRule="auto"/>
            </w:pPr>
            <w:r w:rsidRPr="006F4049">
              <w:t>Patient rehabilitating</w:t>
            </w:r>
          </w:p>
          <w:p w14:paraId="0965839A" w14:textId="77777777" w:rsidR="00933D21" w:rsidRPr="006F4049" w:rsidRDefault="00933D21" w:rsidP="0062160C">
            <w:pPr>
              <w:pStyle w:val="ListParagraph"/>
              <w:numPr>
                <w:ilvl w:val="0"/>
                <w:numId w:val="9"/>
              </w:numPr>
              <w:spacing w:line="276" w:lineRule="auto"/>
            </w:pPr>
            <w:r w:rsidRPr="006F4049">
              <w:t>Patient deceased</w:t>
            </w:r>
          </w:p>
          <w:p w14:paraId="167669D0" w14:textId="77777777" w:rsidR="00933D21" w:rsidRDefault="00933D21" w:rsidP="00A138FA">
            <w:pPr>
              <w:spacing w:after="200"/>
              <w:rPr>
                <w:rFonts w:asciiTheme="minorHAnsi" w:hAnsiTheme="minorHAnsi"/>
              </w:rPr>
            </w:pPr>
          </w:p>
          <w:p w14:paraId="57C6133F" w14:textId="77777777" w:rsidR="00933D21" w:rsidRDefault="00933D21" w:rsidP="00A138FA">
            <w:pPr>
              <w:spacing w:after="200"/>
              <w:rPr>
                <w:rFonts w:asciiTheme="minorHAnsi" w:hAnsiTheme="minorHAnsi"/>
              </w:rPr>
            </w:pPr>
          </w:p>
          <w:p w14:paraId="64DD4B0D" w14:textId="77777777" w:rsidR="00933D21" w:rsidRDefault="00933D21" w:rsidP="00A138FA">
            <w:pPr>
              <w:spacing w:after="200"/>
              <w:rPr>
                <w:rFonts w:asciiTheme="minorHAnsi" w:hAnsiTheme="minorHAnsi"/>
              </w:rPr>
            </w:pPr>
          </w:p>
          <w:p w14:paraId="18951288" w14:textId="77777777" w:rsidR="00933D21" w:rsidRDefault="00933D21" w:rsidP="00A138FA">
            <w:pPr>
              <w:spacing w:after="200"/>
              <w:rPr>
                <w:rFonts w:asciiTheme="minorHAnsi" w:hAnsiTheme="minorHAnsi"/>
              </w:rPr>
            </w:pPr>
          </w:p>
          <w:p w14:paraId="29F4B8F5" w14:textId="77777777" w:rsidR="00933D21" w:rsidRDefault="00933D21" w:rsidP="00A138FA">
            <w:pPr>
              <w:spacing w:after="200"/>
              <w:rPr>
                <w:rFonts w:asciiTheme="minorHAnsi" w:hAnsiTheme="minorHAnsi"/>
              </w:rPr>
            </w:pPr>
          </w:p>
          <w:p w14:paraId="2C6868C5" w14:textId="77777777" w:rsidR="00933D21" w:rsidRDefault="00933D21" w:rsidP="00A138FA">
            <w:pPr>
              <w:spacing w:after="200"/>
              <w:rPr>
                <w:rFonts w:asciiTheme="minorHAnsi" w:hAnsiTheme="minorHAnsi"/>
              </w:rPr>
            </w:pPr>
          </w:p>
          <w:p w14:paraId="3C881845" w14:textId="77777777" w:rsidR="00933D21" w:rsidRDefault="00933D21" w:rsidP="00A138FA">
            <w:pPr>
              <w:spacing w:after="200"/>
              <w:rPr>
                <w:rFonts w:asciiTheme="minorHAnsi" w:hAnsiTheme="minorHAnsi"/>
              </w:rPr>
            </w:pPr>
          </w:p>
          <w:p w14:paraId="4C17EC94" w14:textId="77777777" w:rsidR="00933D21" w:rsidRDefault="00933D21" w:rsidP="00A138FA">
            <w:pPr>
              <w:spacing w:after="200"/>
              <w:rPr>
                <w:rFonts w:asciiTheme="minorHAnsi" w:hAnsiTheme="minorHAnsi"/>
              </w:rPr>
            </w:pPr>
          </w:p>
          <w:p w14:paraId="4CDBB79E" w14:textId="77777777" w:rsidR="00933D21" w:rsidRDefault="00933D21" w:rsidP="00A138FA">
            <w:pPr>
              <w:spacing w:after="200"/>
              <w:rPr>
                <w:rFonts w:asciiTheme="minorHAnsi" w:hAnsiTheme="minorHAnsi"/>
              </w:rPr>
            </w:pPr>
          </w:p>
          <w:p w14:paraId="241FF7AD" w14:textId="77777777" w:rsidR="00933D21" w:rsidRDefault="00933D21" w:rsidP="00A138FA">
            <w:pPr>
              <w:spacing w:after="200"/>
              <w:rPr>
                <w:rFonts w:asciiTheme="minorHAnsi" w:hAnsiTheme="minorHAnsi"/>
              </w:rPr>
            </w:pPr>
          </w:p>
          <w:p w14:paraId="796D6210" w14:textId="77777777" w:rsidR="00933D21" w:rsidRDefault="00933D21" w:rsidP="00A138FA">
            <w:pPr>
              <w:spacing w:after="200"/>
              <w:rPr>
                <w:rFonts w:asciiTheme="minorHAnsi" w:hAnsiTheme="minorHAnsi"/>
              </w:rPr>
            </w:pPr>
          </w:p>
          <w:p w14:paraId="7458052F" w14:textId="77777777" w:rsidR="00933D21" w:rsidRDefault="00933D21" w:rsidP="00A138FA">
            <w:pPr>
              <w:spacing w:after="200"/>
              <w:rPr>
                <w:rFonts w:asciiTheme="minorHAnsi" w:hAnsiTheme="minorHAnsi"/>
              </w:rPr>
            </w:pPr>
          </w:p>
          <w:p w14:paraId="6FCBC233" w14:textId="77777777" w:rsidR="00933D21" w:rsidRPr="00AE68F2" w:rsidRDefault="00933D21" w:rsidP="00A138FA">
            <w:pPr>
              <w:spacing w:after="200"/>
              <w:rPr>
                <w:rFonts w:asciiTheme="minorHAnsi" w:hAnsiTheme="minorHAnsi"/>
              </w:rPr>
            </w:pPr>
          </w:p>
        </w:tc>
      </w:tr>
      <w:tr w:rsidR="00933D21" w:rsidRPr="00AE68F2" w14:paraId="10B78FEF" w14:textId="77777777" w:rsidTr="00E457A0">
        <w:trPr>
          <w:gridBefore w:val="1"/>
          <w:wBefore w:w="25" w:type="dxa"/>
        </w:trPr>
        <w:tc>
          <w:tcPr>
            <w:tcW w:w="1663" w:type="dxa"/>
            <w:gridSpan w:val="2"/>
            <w:shd w:val="clear" w:color="auto" w:fill="D9D9D9" w:themeFill="background1" w:themeFillShade="D9"/>
          </w:tcPr>
          <w:p w14:paraId="5F5084A0" w14:textId="38996F50" w:rsidR="00933D21" w:rsidRPr="00AE68F2" w:rsidRDefault="00933D21" w:rsidP="00BD341A">
            <w:pPr>
              <w:rPr>
                <w:rFonts w:asciiTheme="minorHAnsi" w:hAnsiTheme="minorHAnsi"/>
                <w:b/>
              </w:rPr>
            </w:pPr>
            <w:r w:rsidRPr="00AE68F2">
              <w:rPr>
                <w:rFonts w:asciiTheme="minorHAnsi" w:hAnsiTheme="minorHAnsi"/>
                <w:b/>
              </w:rPr>
              <w:lastRenderedPageBreak/>
              <w:t>Dose</w:t>
            </w:r>
          </w:p>
        </w:tc>
        <w:tc>
          <w:tcPr>
            <w:tcW w:w="4549" w:type="dxa"/>
            <w:gridSpan w:val="3"/>
          </w:tcPr>
          <w:p w14:paraId="2EFCD9CC" w14:textId="77777777" w:rsidR="00933D21" w:rsidRPr="00AE68F2" w:rsidRDefault="00933D21" w:rsidP="00AE68F2">
            <w:pPr>
              <w:spacing w:after="225" w:line="360" w:lineRule="atLeast"/>
              <w:rPr>
                <w:rFonts w:asciiTheme="minorHAnsi" w:eastAsia="Times New Roman" w:hAnsiTheme="minorHAnsi" w:cs="Times New Roman"/>
                <w:color w:val="000000"/>
                <w:lang w:eastAsia="en-AU"/>
              </w:rPr>
            </w:pPr>
            <w:r w:rsidRPr="00AE68F2">
              <w:rPr>
                <w:rFonts w:asciiTheme="minorHAnsi" w:eastAsia="Times New Roman" w:hAnsiTheme="minorHAnsi" w:cs="Times New Roman"/>
                <w:color w:val="000000"/>
                <w:lang w:eastAsia="en-AU"/>
              </w:rPr>
              <w:t>2 g/kg as a single dose.</w:t>
            </w:r>
          </w:p>
          <w:p w14:paraId="353C41A0" w14:textId="77777777" w:rsidR="00933D21" w:rsidRPr="00AE68F2" w:rsidRDefault="00933D21" w:rsidP="00933D21">
            <w:pPr>
              <w:spacing w:after="225" w:line="276" w:lineRule="auto"/>
              <w:rPr>
                <w:rFonts w:asciiTheme="minorHAnsi" w:eastAsia="Times New Roman" w:hAnsiTheme="minorHAnsi" w:cs="Times New Roman"/>
                <w:color w:val="000000"/>
                <w:lang w:eastAsia="en-AU"/>
              </w:rPr>
            </w:pPr>
            <w:r w:rsidRPr="00AE68F2">
              <w:rPr>
                <w:rFonts w:asciiTheme="minorHAnsi" w:eastAsia="Times New Roman" w:hAnsiTheme="minorHAnsi" w:cs="Times New Roman"/>
                <w:color w:val="000000"/>
                <w:lang w:eastAsia="en-AU"/>
              </w:rPr>
              <w:t xml:space="preserve">Schrage et al (2006) reported differences between various preparations of IVIg and their ability to neutralise streptococcal superantigens. They commented that ‘the variations between IVIg preparations from different manufacturers are most likely caused by the different geographical regions from which the plasma samples were collected and might reflect differences in ... group A streptococcal ... exposure.’ The clinical </w:t>
            </w:r>
            <w:r w:rsidRPr="00AE68F2">
              <w:rPr>
                <w:rFonts w:asciiTheme="minorHAnsi" w:eastAsia="Times New Roman" w:hAnsiTheme="minorHAnsi" w:cs="Times New Roman"/>
                <w:color w:val="000000"/>
                <w:lang w:eastAsia="en-AU"/>
              </w:rPr>
              <w:lastRenderedPageBreak/>
              <w:t>significance of these findings is not yet known.</w:t>
            </w:r>
          </w:p>
          <w:p w14:paraId="63AE5AC9" w14:textId="77777777" w:rsidR="00933D21" w:rsidRPr="00AE68F2" w:rsidRDefault="00933D21" w:rsidP="00933D21">
            <w:pPr>
              <w:spacing w:after="225" w:line="276" w:lineRule="auto"/>
              <w:rPr>
                <w:rFonts w:asciiTheme="minorHAnsi" w:eastAsia="Times New Roman" w:hAnsiTheme="minorHAnsi" w:cs="Times New Roman"/>
                <w:color w:val="000000"/>
                <w:lang w:eastAsia="en-AU"/>
              </w:rPr>
            </w:pPr>
            <w:r w:rsidRPr="00AE68F2">
              <w:rPr>
                <w:rFonts w:asciiTheme="minorHAnsi" w:eastAsia="Times New Roman" w:hAnsiTheme="minorHAnsi" w:cs="Times New Roman"/>
                <w:color w:val="000000"/>
                <w:lang w:eastAsia="en-AU"/>
              </w:rPr>
              <w:t xml:space="preserve">Darenberg et al (2004) suggested that higher doses of IVIg might be required for staphylococcal TSS than streptococcal TSS, based on in vitro neutralisation of superantigens. </w:t>
            </w:r>
          </w:p>
          <w:p w14:paraId="32DDABAF" w14:textId="77777777" w:rsidR="00933D21" w:rsidRPr="00AE68F2" w:rsidRDefault="00933D21" w:rsidP="00AE68F2">
            <w:pPr>
              <w:spacing w:after="225" w:line="360" w:lineRule="atLeast"/>
              <w:rPr>
                <w:rFonts w:asciiTheme="minorHAnsi" w:eastAsia="Times New Roman" w:hAnsiTheme="minorHAnsi" w:cs="Times New Roman"/>
                <w:b/>
                <w:bCs/>
                <w:color w:val="000000"/>
                <w:lang w:eastAsia="en-AU"/>
              </w:rPr>
            </w:pPr>
            <w:r w:rsidRPr="00AE68F2">
              <w:rPr>
                <w:rFonts w:asciiTheme="minorHAnsi" w:eastAsia="Times New Roman" w:hAnsiTheme="minorHAnsi" w:cs="Times New Roman"/>
                <w:b/>
                <w:bCs/>
                <w:color w:val="000000"/>
                <w:lang w:eastAsia="en-AU"/>
              </w:rPr>
              <w:t>Dosing above 1 g/kg per day is contraindicated for some IVIg products.</w:t>
            </w:r>
          </w:p>
          <w:p w14:paraId="7D102A2B" w14:textId="77777777" w:rsidR="00933D21" w:rsidRPr="00AE68F2" w:rsidRDefault="00933D21" w:rsidP="00AE68F2">
            <w:pPr>
              <w:spacing w:after="225" w:line="360" w:lineRule="atLeast"/>
              <w:rPr>
                <w:rFonts w:asciiTheme="minorHAnsi" w:eastAsia="Times New Roman" w:hAnsiTheme="minorHAnsi" w:cs="Times New Roman"/>
                <w:b/>
                <w:bCs/>
                <w:color w:val="000000"/>
                <w:lang w:eastAsia="en-AU"/>
              </w:rPr>
            </w:pPr>
            <w:r w:rsidRPr="00AE68F2">
              <w:rPr>
                <w:rFonts w:asciiTheme="minorHAnsi" w:eastAsia="Times New Roman" w:hAnsiTheme="minorHAnsi" w:cs="Times New Roman"/>
                <w:b/>
                <w:bCs/>
                <w:color w:val="000000"/>
                <w:lang w:eastAsia="en-AU"/>
              </w:rPr>
              <w:t>Refer to the current product information sheet for further information.</w:t>
            </w:r>
          </w:p>
          <w:p w14:paraId="702EAC67" w14:textId="77777777" w:rsidR="00933D21" w:rsidRPr="00AE68F2" w:rsidRDefault="00933D21" w:rsidP="00AE68F2">
            <w:pPr>
              <w:spacing w:after="225" w:line="360" w:lineRule="atLeast"/>
              <w:rPr>
                <w:rFonts w:asciiTheme="minorHAnsi" w:eastAsia="Times New Roman" w:hAnsiTheme="minorHAnsi" w:cs="Times New Roman"/>
                <w:color w:val="000000"/>
                <w:lang w:eastAsia="en-AU"/>
              </w:rPr>
            </w:pPr>
            <w:r w:rsidRPr="00AE68F2">
              <w:rPr>
                <w:rFonts w:asciiTheme="minorHAnsi" w:eastAsia="Times New Roman" w:hAnsiTheme="minorHAnsi" w:cs="Times New Roman"/>
                <w:b/>
                <w:bCs/>
                <w:color w:val="000000"/>
                <w:lang w:eastAsia="en-AU"/>
              </w:rPr>
              <w:t>The aim should be to use the lowest dose possible that achieves the appropriate clinical outcome for each patient.</w:t>
            </w:r>
          </w:p>
        </w:tc>
        <w:tc>
          <w:tcPr>
            <w:tcW w:w="4678" w:type="dxa"/>
            <w:gridSpan w:val="3"/>
          </w:tcPr>
          <w:p w14:paraId="3482D43E" w14:textId="5288A67B" w:rsidR="00933D21" w:rsidRPr="00933D21" w:rsidRDefault="00933D21" w:rsidP="00C22FF3">
            <w:pPr>
              <w:spacing w:line="276" w:lineRule="auto"/>
              <w:rPr>
                <w:b/>
              </w:rPr>
            </w:pPr>
            <w:r w:rsidRPr="00933D21">
              <w:rPr>
                <w:b/>
              </w:rPr>
              <w:lastRenderedPageBreak/>
              <w:t>Induction dose</w:t>
            </w:r>
            <w:r w:rsidR="00E457A0">
              <w:rPr>
                <w:b/>
              </w:rPr>
              <w:t xml:space="preserve"> -</w:t>
            </w:r>
            <w:r w:rsidRPr="00933D21">
              <w:rPr>
                <w:b/>
              </w:rPr>
              <w:t xml:space="preserve"> </w:t>
            </w:r>
            <w:r w:rsidRPr="00933D21">
              <w:t>2 g/kg as a single dose.</w:t>
            </w:r>
          </w:p>
          <w:p w14:paraId="5BB1F0C7" w14:textId="77777777" w:rsidR="00933D21" w:rsidRPr="00933D21" w:rsidRDefault="00933D21" w:rsidP="00933D21">
            <w:pPr>
              <w:spacing w:line="276" w:lineRule="auto"/>
              <w:rPr>
                <w:b/>
              </w:rPr>
            </w:pPr>
          </w:p>
          <w:p w14:paraId="25B7B90F" w14:textId="77777777" w:rsidR="00933D21" w:rsidRDefault="00933D21" w:rsidP="00933D21">
            <w:pPr>
              <w:spacing w:line="276" w:lineRule="auto"/>
              <w:rPr>
                <w:rFonts w:asciiTheme="minorHAnsi" w:hAnsiTheme="minorHAnsi" w:cstheme="minorHAnsi"/>
              </w:rPr>
            </w:pPr>
            <w:r w:rsidRPr="00933D21">
              <w:rPr>
                <w:rFonts w:asciiTheme="minorHAnsi" w:hAnsiTheme="minorHAnsi" w:cstheme="minorHAnsi"/>
              </w:rPr>
              <w:t xml:space="preserve">There have been reported differences between various preparations of IVIg and their ability to neutralise streptococcal superantigens that may relate to geographical regions from which the plasma was collected, which may reflect differences in Group A streptococcal exposure (Schrage et al 2006). The clinical significance of these findings is not yet known. </w:t>
            </w:r>
          </w:p>
          <w:p w14:paraId="5F679792" w14:textId="77777777" w:rsidR="00E457A0" w:rsidRPr="00933D21" w:rsidRDefault="00E457A0" w:rsidP="00933D21">
            <w:pPr>
              <w:spacing w:line="276" w:lineRule="auto"/>
              <w:rPr>
                <w:rFonts w:asciiTheme="minorHAnsi" w:hAnsiTheme="minorHAnsi" w:cstheme="minorHAnsi"/>
              </w:rPr>
            </w:pPr>
          </w:p>
          <w:p w14:paraId="21D50CB6" w14:textId="14434E37" w:rsidR="00933D21" w:rsidRPr="00933D21" w:rsidRDefault="00933D21" w:rsidP="00933D21">
            <w:pPr>
              <w:spacing w:after="225" w:line="276" w:lineRule="auto"/>
              <w:rPr>
                <w:rFonts w:asciiTheme="minorHAnsi" w:eastAsia="Times New Roman" w:hAnsiTheme="minorHAnsi" w:cstheme="minorHAnsi"/>
                <w:b/>
                <w:color w:val="000000"/>
              </w:rPr>
            </w:pPr>
            <w:r w:rsidRPr="00933D21">
              <w:rPr>
                <w:rFonts w:asciiTheme="minorHAnsi" w:hAnsiTheme="minorHAnsi" w:cstheme="minorHAnsi"/>
              </w:rPr>
              <w:t xml:space="preserve">Darenburg et al (2004) suggested that higher doses of IVIg might be required for </w:t>
            </w:r>
            <w:r w:rsidRPr="00933D21">
              <w:rPr>
                <w:rFonts w:asciiTheme="minorHAnsi" w:hAnsiTheme="minorHAnsi" w:cstheme="minorHAnsi"/>
              </w:rPr>
              <w:lastRenderedPageBreak/>
              <w:t>staphylococcal TSS than for streptococcal TSS, based on in vitro neutralisation of superantigens.</w:t>
            </w:r>
          </w:p>
          <w:p w14:paraId="321ADFBB" w14:textId="77777777" w:rsidR="00C83B15" w:rsidRPr="00C83B15" w:rsidRDefault="00C83B15" w:rsidP="00C22FF3">
            <w:pPr>
              <w:spacing w:after="225" w:line="276" w:lineRule="auto"/>
              <w:rPr>
                <w:rFonts w:asciiTheme="minorHAnsi" w:eastAsia="Times New Roman" w:hAnsiTheme="minorHAnsi" w:cstheme="minorHAnsi"/>
                <w:color w:val="000000"/>
              </w:rPr>
            </w:pPr>
            <w:r w:rsidRPr="00C83B15">
              <w:rPr>
                <w:rFonts w:asciiTheme="minorHAnsi" w:eastAsia="Times New Roman" w:hAnsiTheme="minorHAnsi" w:cstheme="minorHAnsi"/>
                <w:color w:val="000000"/>
              </w:rPr>
              <w:t>The aim should be to use the lowest dose possible that achieves the appropriate clinical outcome for each patient.</w:t>
            </w:r>
          </w:p>
          <w:p w14:paraId="05555EBD" w14:textId="4C05D30A" w:rsidR="00933D21" w:rsidRPr="00E457A0" w:rsidRDefault="00933D21" w:rsidP="00C22FF3">
            <w:pPr>
              <w:spacing w:after="225" w:line="276" w:lineRule="auto"/>
              <w:rPr>
                <w:rFonts w:asciiTheme="minorHAnsi" w:eastAsia="Times New Roman" w:hAnsiTheme="minorHAnsi" w:cstheme="minorHAnsi"/>
                <w:color w:val="000000"/>
              </w:rPr>
            </w:pPr>
            <w:r w:rsidRPr="00E457A0">
              <w:rPr>
                <w:rFonts w:asciiTheme="minorHAnsi" w:eastAsia="Times New Roman" w:hAnsiTheme="minorHAnsi" w:cstheme="minorHAnsi"/>
                <w:color w:val="000000"/>
              </w:rPr>
              <w:t>Dosing above 1 g/kg per day is contraindicated for some IVIg products.</w:t>
            </w:r>
          </w:p>
          <w:p w14:paraId="37202A1D" w14:textId="77777777" w:rsidR="00933D21" w:rsidRPr="00933D21" w:rsidRDefault="00933D21" w:rsidP="00C22FF3">
            <w:pPr>
              <w:spacing w:after="225" w:line="276" w:lineRule="auto"/>
              <w:rPr>
                <w:rFonts w:asciiTheme="minorHAnsi" w:eastAsia="Times New Roman" w:hAnsiTheme="minorHAnsi" w:cstheme="minorHAnsi"/>
                <w:b/>
                <w:color w:val="000000"/>
              </w:rPr>
            </w:pPr>
            <w:r w:rsidRPr="00933D21">
              <w:rPr>
                <w:rFonts w:asciiTheme="minorHAnsi" w:eastAsia="Times New Roman" w:hAnsiTheme="minorHAnsi" w:cstheme="minorHAnsi"/>
                <w:b/>
                <w:color w:val="000000"/>
              </w:rPr>
              <w:t>Refer to the current product information sheet for further information.</w:t>
            </w:r>
          </w:p>
          <w:p w14:paraId="4998E421" w14:textId="5B79A91B" w:rsidR="00933D21" w:rsidRPr="00C22FF3" w:rsidRDefault="00933D21" w:rsidP="00C22FF3">
            <w:pPr>
              <w:spacing w:line="276" w:lineRule="auto"/>
              <w:rPr>
                <w:b/>
              </w:rPr>
            </w:pPr>
          </w:p>
        </w:tc>
        <w:tc>
          <w:tcPr>
            <w:tcW w:w="4395" w:type="dxa"/>
          </w:tcPr>
          <w:p w14:paraId="09749172" w14:textId="6F3BC104" w:rsidR="00933D21" w:rsidRPr="00AE68F2" w:rsidRDefault="001A097E" w:rsidP="007342DB">
            <w:pPr>
              <w:spacing w:after="240" w:line="20" w:lineRule="atLeast"/>
              <w:rPr>
                <w:rFonts w:asciiTheme="minorHAnsi" w:eastAsia="Times New Roman" w:hAnsiTheme="minorHAnsi" w:cstheme="minorHAnsi"/>
                <w:b/>
                <w:color w:val="000000"/>
              </w:rPr>
            </w:pPr>
            <w:r>
              <w:rPr>
                <w:rFonts w:asciiTheme="minorHAnsi" w:eastAsia="Times New Roman" w:hAnsiTheme="minorHAnsi" w:cstheme="minorHAnsi"/>
                <w:color w:val="000000"/>
              </w:rPr>
              <w:lastRenderedPageBreak/>
              <w:t>Dosing u</w:t>
            </w:r>
            <w:r w:rsidRPr="00933D21">
              <w:rPr>
                <w:rFonts w:asciiTheme="minorHAnsi" w:eastAsia="Times New Roman" w:hAnsiTheme="minorHAnsi" w:cstheme="minorHAnsi"/>
                <w:color w:val="000000"/>
              </w:rPr>
              <w:t>nchanged</w:t>
            </w:r>
            <w:r>
              <w:rPr>
                <w:rFonts w:asciiTheme="minorHAnsi" w:eastAsia="Times New Roman" w:hAnsiTheme="minorHAnsi" w:cstheme="minorHAnsi"/>
                <w:color w:val="000000"/>
              </w:rPr>
              <w:t xml:space="preserve"> - minor revision to script</w:t>
            </w:r>
            <w:r>
              <w:rPr>
                <w:rFonts w:asciiTheme="minorHAnsi" w:eastAsia="Times New Roman" w:hAnsiTheme="minorHAnsi" w:cstheme="minorHAnsi"/>
                <w:b/>
                <w:color w:val="000000"/>
              </w:rPr>
              <w:t>.</w:t>
            </w:r>
          </w:p>
        </w:tc>
      </w:tr>
      <w:tr w:rsidR="003E7C6E" w:rsidRPr="003E7C6E" w14:paraId="7FAC8D6B" w14:textId="77777777" w:rsidTr="00E457A0">
        <w:trPr>
          <w:gridBefore w:val="2"/>
          <w:wBefore w:w="34" w:type="dxa"/>
        </w:trPr>
        <w:tc>
          <w:tcPr>
            <w:tcW w:w="15276" w:type="dxa"/>
            <w:gridSpan w:val="8"/>
            <w:shd w:val="clear" w:color="auto" w:fill="DBE5F1" w:themeFill="accent1" w:themeFillTint="33"/>
          </w:tcPr>
          <w:p w14:paraId="2B4E8E0F" w14:textId="17F1F0C8" w:rsidR="003E7C6E" w:rsidRPr="003E7C6E" w:rsidRDefault="000E63CB" w:rsidP="003E7C6E">
            <w:pPr>
              <w:spacing w:before="100" w:beforeAutospacing="1" w:after="100" w:afterAutospacing="1" w:line="360" w:lineRule="atLeast"/>
              <w:jc w:val="center"/>
              <w:rPr>
                <w:rFonts w:asciiTheme="minorHAnsi" w:eastAsia="Times New Roman" w:hAnsiTheme="minorHAnsi" w:cs="Times New Roman"/>
                <w:b/>
                <w:color w:val="000000"/>
                <w:lang w:val="en" w:eastAsia="en-AU"/>
              </w:rPr>
            </w:pPr>
            <w:r>
              <w:rPr>
                <w:rFonts w:asciiTheme="minorHAnsi" w:eastAsia="Times New Roman" w:hAnsiTheme="minorHAnsi" w:cs="Times New Roman"/>
                <w:b/>
                <w:color w:val="000000"/>
                <w:lang w:val="en" w:eastAsia="en-AU"/>
              </w:rPr>
              <w:lastRenderedPageBreak/>
              <w:t>BIBLIOGRAPHY</w:t>
            </w:r>
          </w:p>
        </w:tc>
      </w:tr>
      <w:tr w:rsidR="000E63CB" w:rsidRPr="003E7C6E" w14:paraId="4BD427EB" w14:textId="77777777" w:rsidTr="000E63CB">
        <w:trPr>
          <w:gridBefore w:val="2"/>
          <w:wBefore w:w="34" w:type="dxa"/>
        </w:trPr>
        <w:tc>
          <w:tcPr>
            <w:tcW w:w="15276" w:type="dxa"/>
            <w:gridSpan w:val="8"/>
            <w:shd w:val="clear" w:color="auto" w:fill="auto"/>
          </w:tcPr>
          <w:p w14:paraId="7745CCF1" w14:textId="6DAE904F" w:rsidR="000E63CB" w:rsidRPr="003E7C6E" w:rsidRDefault="000E63CB" w:rsidP="000E63CB">
            <w:pPr>
              <w:spacing w:before="100" w:beforeAutospacing="1" w:after="100" w:afterAutospacing="1" w:line="360" w:lineRule="atLeast"/>
              <w:rPr>
                <w:rFonts w:asciiTheme="minorHAnsi" w:eastAsia="Times New Roman" w:hAnsiTheme="minorHAnsi" w:cs="Times New Roman"/>
                <w:b/>
                <w:color w:val="000000"/>
                <w:lang w:val="en" w:eastAsia="en-AU"/>
              </w:rPr>
            </w:pPr>
            <w:proofErr w:type="spellStart"/>
            <w:r>
              <w:rPr>
                <w:rFonts w:ascii="Open Sans" w:hAnsi="Open Sans" w:cs="Helvetica"/>
                <w:color w:val="333333"/>
                <w:sz w:val="21"/>
                <w:szCs w:val="21"/>
              </w:rPr>
              <w:t>Darenberg</w:t>
            </w:r>
            <w:proofErr w:type="spellEnd"/>
            <w:r>
              <w:rPr>
                <w:rFonts w:ascii="Open Sans" w:hAnsi="Open Sans" w:cs="Helvetica"/>
                <w:color w:val="333333"/>
                <w:sz w:val="21"/>
                <w:szCs w:val="21"/>
              </w:rPr>
              <w:t xml:space="preserve">, J, </w:t>
            </w:r>
            <w:proofErr w:type="spellStart"/>
            <w:r>
              <w:rPr>
                <w:rFonts w:ascii="Open Sans" w:hAnsi="Open Sans" w:cs="Helvetica"/>
                <w:color w:val="333333"/>
                <w:sz w:val="21"/>
                <w:szCs w:val="21"/>
              </w:rPr>
              <w:t>Ihendyane</w:t>
            </w:r>
            <w:proofErr w:type="spellEnd"/>
            <w:r>
              <w:rPr>
                <w:rFonts w:ascii="Open Sans" w:hAnsi="Open Sans" w:cs="Helvetica"/>
                <w:color w:val="333333"/>
                <w:sz w:val="21"/>
                <w:szCs w:val="21"/>
              </w:rPr>
              <w:t xml:space="preserve">, N, </w:t>
            </w:r>
            <w:proofErr w:type="spellStart"/>
            <w:r>
              <w:rPr>
                <w:rFonts w:ascii="Open Sans" w:hAnsi="Open Sans" w:cs="Helvetica"/>
                <w:color w:val="333333"/>
                <w:sz w:val="21"/>
                <w:szCs w:val="21"/>
              </w:rPr>
              <w:t>Sjoelin</w:t>
            </w:r>
            <w:proofErr w:type="spellEnd"/>
            <w:r>
              <w:rPr>
                <w:rFonts w:ascii="Open Sans" w:hAnsi="Open Sans" w:cs="Helvetica"/>
                <w:color w:val="333333"/>
                <w:sz w:val="21"/>
                <w:szCs w:val="21"/>
              </w:rPr>
              <w:t xml:space="preserve">, J, et al 2003, ‘Intravenous immunoglobulin G therapy for streptococcal toxic shock syndrome: a European randomised double-blind placebo- controlled trial’, </w:t>
            </w:r>
            <w:r>
              <w:rPr>
                <w:rStyle w:val="Emphasis"/>
                <w:rFonts w:ascii="Open Sans" w:hAnsi="Open Sans" w:cs="Helvetica"/>
                <w:color w:val="333333"/>
                <w:sz w:val="21"/>
                <w:szCs w:val="21"/>
              </w:rPr>
              <w:t>Clinical Infectious Disea</w:t>
            </w:r>
            <w:bookmarkStart w:id="0" w:name="_GoBack"/>
            <w:bookmarkEnd w:id="0"/>
            <w:r>
              <w:rPr>
                <w:rStyle w:val="Emphasis"/>
                <w:rFonts w:ascii="Open Sans" w:hAnsi="Open Sans" w:cs="Helvetica"/>
                <w:color w:val="333333"/>
                <w:sz w:val="21"/>
                <w:szCs w:val="21"/>
              </w:rPr>
              <w:t>ses</w:t>
            </w:r>
            <w:r>
              <w:rPr>
                <w:rFonts w:ascii="Open Sans" w:hAnsi="Open Sans" w:cs="Helvetica"/>
                <w:color w:val="333333"/>
                <w:sz w:val="21"/>
                <w:szCs w:val="21"/>
              </w:rPr>
              <w:t>, vol. 37, pp. 333–40.</w:t>
            </w:r>
            <w:r>
              <w:rPr>
                <w:rFonts w:ascii="Open Sans" w:hAnsi="Open Sans" w:cs="Helvetica"/>
                <w:color w:val="333333"/>
                <w:sz w:val="21"/>
                <w:szCs w:val="21"/>
              </w:rPr>
              <w:br/>
            </w:r>
            <w:proofErr w:type="spellStart"/>
            <w:r>
              <w:rPr>
                <w:rFonts w:ascii="Open Sans" w:hAnsi="Open Sans" w:cs="Helvetica"/>
                <w:color w:val="333333"/>
                <w:sz w:val="21"/>
                <w:szCs w:val="21"/>
              </w:rPr>
              <w:t>Darenberg</w:t>
            </w:r>
            <w:proofErr w:type="spellEnd"/>
            <w:r>
              <w:rPr>
                <w:rFonts w:ascii="Open Sans" w:hAnsi="Open Sans" w:cs="Helvetica"/>
                <w:color w:val="333333"/>
                <w:sz w:val="21"/>
                <w:szCs w:val="21"/>
              </w:rPr>
              <w:t xml:space="preserve">, J, </w:t>
            </w:r>
            <w:proofErr w:type="spellStart"/>
            <w:r>
              <w:rPr>
                <w:rFonts w:ascii="Open Sans" w:hAnsi="Open Sans" w:cs="Helvetica"/>
                <w:color w:val="333333"/>
                <w:sz w:val="21"/>
                <w:szCs w:val="21"/>
              </w:rPr>
              <w:t>Söderquist</w:t>
            </w:r>
            <w:proofErr w:type="spellEnd"/>
            <w:r>
              <w:rPr>
                <w:rFonts w:ascii="Open Sans" w:hAnsi="Open Sans" w:cs="Helvetica"/>
                <w:color w:val="333333"/>
                <w:sz w:val="21"/>
                <w:szCs w:val="21"/>
              </w:rPr>
              <w:t xml:space="preserve">, B, </w:t>
            </w:r>
            <w:proofErr w:type="spellStart"/>
            <w:r>
              <w:rPr>
                <w:rFonts w:ascii="Open Sans" w:hAnsi="Open Sans" w:cs="Helvetica"/>
                <w:color w:val="333333"/>
                <w:sz w:val="21"/>
                <w:szCs w:val="21"/>
              </w:rPr>
              <w:t>Normark</w:t>
            </w:r>
            <w:proofErr w:type="spellEnd"/>
            <w:r>
              <w:rPr>
                <w:rFonts w:ascii="Open Sans" w:hAnsi="Open Sans" w:cs="Helvetica"/>
                <w:color w:val="333333"/>
                <w:sz w:val="21"/>
                <w:szCs w:val="21"/>
              </w:rPr>
              <w:t xml:space="preserve">, BH, et al 2004, ‘Differences in potency of intravenous </w:t>
            </w:r>
            <w:proofErr w:type="spellStart"/>
            <w:r>
              <w:rPr>
                <w:rFonts w:ascii="Open Sans" w:hAnsi="Open Sans" w:cs="Helvetica"/>
                <w:color w:val="333333"/>
                <w:sz w:val="21"/>
                <w:szCs w:val="21"/>
              </w:rPr>
              <w:t>polyspecific</w:t>
            </w:r>
            <w:proofErr w:type="spellEnd"/>
            <w:r>
              <w:rPr>
                <w:rFonts w:ascii="Open Sans" w:hAnsi="Open Sans" w:cs="Helvetica"/>
                <w:color w:val="333333"/>
                <w:sz w:val="21"/>
                <w:szCs w:val="21"/>
              </w:rPr>
              <w:t xml:space="preserve"> immunoglobulin G against streptococcal and staphylococcal </w:t>
            </w:r>
            <w:proofErr w:type="spellStart"/>
            <w:r>
              <w:rPr>
                <w:rFonts w:ascii="Open Sans" w:hAnsi="Open Sans" w:cs="Helvetica"/>
                <w:color w:val="333333"/>
                <w:sz w:val="21"/>
                <w:szCs w:val="21"/>
              </w:rPr>
              <w:t>superantigens</w:t>
            </w:r>
            <w:proofErr w:type="spellEnd"/>
            <w:r>
              <w:rPr>
                <w:rFonts w:ascii="Open Sans" w:hAnsi="Open Sans" w:cs="Helvetica"/>
                <w:color w:val="333333"/>
                <w:sz w:val="21"/>
                <w:szCs w:val="21"/>
              </w:rPr>
              <w:t xml:space="preserve">; implications for therapy of toxic shock syndrome’, </w:t>
            </w:r>
            <w:r>
              <w:rPr>
                <w:rStyle w:val="Emphasis"/>
                <w:rFonts w:ascii="Open Sans" w:hAnsi="Open Sans" w:cs="Helvetica"/>
                <w:color w:val="333333"/>
                <w:sz w:val="21"/>
                <w:szCs w:val="21"/>
              </w:rPr>
              <w:t>Clinical Infectious Diseases</w:t>
            </w:r>
            <w:r>
              <w:rPr>
                <w:rFonts w:ascii="Open Sans" w:hAnsi="Open Sans" w:cs="Helvetica"/>
                <w:color w:val="333333"/>
                <w:sz w:val="21"/>
                <w:szCs w:val="21"/>
              </w:rPr>
              <w:t>, vol. 38, pp. 836–42.</w:t>
            </w:r>
            <w:r>
              <w:rPr>
                <w:rFonts w:ascii="Open Sans" w:hAnsi="Open Sans" w:cs="Helvetica"/>
                <w:color w:val="333333"/>
                <w:sz w:val="21"/>
                <w:szCs w:val="21"/>
              </w:rPr>
              <w:br/>
            </w:r>
            <w:proofErr w:type="spellStart"/>
            <w:r>
              <w:rPr>
                <w:rFonts w:ascii="Open Sans" w:hAnsi="Open Sans" w:cs="Helvetica"/>
                <w:color w:val="333333"/>
                <w:sz w:val="21"/>
                <w:szCs w:val="21"/>
              </w:rPr>
              <w:t>Kaul</w:t>
            </w:r>
            <w:proofErr w:type="spellEnd"/>
            <w:r>
              <w:rPr>
                <w:rFonts w:ascii="Open Sans" w:hAnsi="Open Sans" w:cs="Helvetica"/>
                <w:color w:val="333333"/>
                <w:sz w:val="21"/>
                <w:szCs w:val="21"/>
              </w:rPr>
              <w:t xml:space="preserve">, R, </w:t>
            </w:r>
            <w:proofErr w:type="spellStart"/>
            <w:r>
              <w:rPr>
                <w:rFonts w:ascii="Open Sans" w:hAnsi="Open Sans" w:cs="Helvetica"/>
                <w:color w:val="333333"/>
                <w:sz w:val="21"/>
                <w:szCs w:val="21"/>
              </w:rPr>
              <w:t>McGeer</w:t>
            </w:r>
            <w:proofErr w:type="spellEnd"/>
            <w:r>
              <w:rPr>
                <w:rFonts w:ascii="Open Sans" w:hAnsi="Open Sans" w:cs="Helvetica"/>
                <w:color w:val="333333"/>
                <w:sz w:val="21"/>
                <w:szCs w:val="21"/>
              </w:rPr>
              <w:t xml:space="preserve">, A, </w:t>
            </w:r>
            <w:proofErr w:type="spellStart"/>
            <w:r>
              <w:rPr>
                <w:rFonts w:ascii="Open Sans" w:hAnsi="Open Sans" w:cs="Helvetica"/>
                <w:color w:val="333333"/>
                <w:sz w:val="21"/>
                <w:szCs w:val="21"/>
              </w:rPr>
              <w:t>Norrby-Teglund</w:t>
            </w:r>
            <w:proofErr w:type="spellEnd"/>
            <w:r>
              <w:rPr>
                <w:rFonts w:ascii="Open Sans" w:hAnsi="Open Sans" w:cs="Helvetica"/>
                <w:color w:val="333333"/>
                <w:sz w:val="21"/>
                <w:szCs w:val="21"/>
              </w:rPr>
              <w:t xml:space="preserve">, A, et al 1999, ‘Intravenous immunoglobulin therapy for streptococcal toxic shock syndrome — a comparative observational study’, </w:t>
            </w:r>
            <w:r>
              <w:rPr>
                <w:rStyle w:val="Emphasis"/>
                <w:rFonts w:ascii="Open Sans" w:hAnsi="Open Sans" w:cs="Helvetica"/>
                <w:color w:val="333333"/>
                <w:sz w:val="21"/>
                <w:szCs w:val="21"/>
              </w:rPr>
              <w:t>Clinical Infectious Diseases</w:t>
            </w:r>
            <w:r>
              <w:rPr>
                <w:rFonts w:ascii="Open Sans" w:hAnsi="Open Sans" w:cs="Helvetica"/>
                <w:color w:val="333333"/>
                <w:sz w:val="21"/>
                <w:szCs w:val="21"/>
              </w:rPr>
              <w:t>, vol. 28, pp. 800–7.</w:t>
            </w:r>
            <w:r>
              <w:rPr>
                <w:rFonts w:ascii="Open Sans" w:hAnsi="Open Sans" w:cs="Helvetica"/>
                <w:color w:val="333333"/>
                <w:sz w:val="21"/>
                <w:szCs w:val="21"/>
              </w:rPr>
              <w:br/>
            </w:r>
            <w:proofErr w:type="spellStart"/>
            <w:r>
              <w:rPr>
                <w:rFonts w:ascii="Open Sans" w:hAnsi="Open Sans" w:cs="Helvetica"/>
                <w:color w:val="333333"/>
                <w:sz w:val="21"/>
                <w:szCs w:val="21"/>
              </w:rPr>
              <w:t>Norrby-Teglund</w:t>
            </w:r>
            <w:proofErr w:type="spellEnd"/>
            <w:r>
              <w:rPr>
                <w:rFonts w:ascii="Open Sans" w:hAnsi="Open Sans" w:cs="Helvetica"/>
                <w:color w:val="333333"/>
                <w:sz w:val="21"/>
                <w:szCs w:val="21"/>
              </w:rPr>
              <w:t xml:space="preserve">, A, Muller, MP, </w:t>
            </w:r>
            <w:proofErr w:type="spellStart"/>
            <w:r>
              <w:rPr>
                <w:rFonts w:ascii="Open Sans" w:hAnsi="Open Sans" w:cs="Helvetica"/>
                <w:color w:val="333333"/>
                <w:sz w:val="21"/>
                <w:szCs w:val="21"/>
              </w:rPr>
              <w:t>McGeer</w:t>
            </w:r>
            <w:proofErr w:type="spellEnd"/>
            <w:r>
              <w:rPr>
                <w:rFonts w:ascii="Open Sans" w:hAnsi="Open Sans" w:cs="Helvetica"/>
                <w:color w:val="333333"/>
                <w:sz w:val="21"/>
                <w:szCs w:val="21"/>
              </w:rPr>
              <w:t xml:space="preserve">, A, et al 2005, ‘Successful management of severe group A streptococcal soft tissue infections using an aggressive medical regimen including intravenous </w:t>
            </w:r>
            <w:proofErr w:type="spellStart"/>
            <w:r>
              <w:rPr>
                <w:rFonts w:ascii="Open Sans" w:hAnsi="Open Sans" w:cs="Helvetica"/>
                <w:color w:val="333333"/>
                <w:sz w:val="21"/>
                <w:szCs w:val="21"/>
              </w:rPr>
              <w:t>polyspecific</w:t>
            </w:r>
            <w:proofErr w:type="spellEnd"/>
            <w:r>
              <w:rPr>
                <w:rFonts w:ascii="Open Sans" w:hAnsi="Open Sans" w:cs="Helvetica"/>
                <w:color w:val="333333"/>
                <w:sz w:val="21"/>
                <w:szCs w:val="21"/>
              </w:rPr>
              <w:t xml:space="preserve"> immunoglobulin together with a conservative surgical approach’, </w:t>
            </w:r>
            <w:r>
              <w:rPr>
                <w:rStyle w:val="Emphasis"/>
                <w:rFonts w:ascii="Open Sans" w:hAnsi="Open Sans" w:cs="Helvetica"/>
                <w:color w:val="333333"/>
                <w:sz w:val="21"/>
                <w:szCs w:val="21"/>
              </w:rPr>
              <w:t>Scandinavian Journal of Infectious Diseases</w:t>
            </w:r>
            <w:r>
              <w:rPr>
                <w:rFonts w:ascii="Open Sans" w:hAnsi="Open Sans" w:cs="Helvetica"/>
                <w:color w:val="333333"/>
                <w:sz w:val="21"/>
                <w:szCs w:val="21"/>
              </w:rPr>
              <w:t>, vol. 37, no. 3, pp. 166–72.</w:t>
            </w:r>
            <w:r>
              <w:rPr>
                <w:rFonts w:ascii="Open Sans" w:hAnsi="Open Sans" w:cs="Helvetica"/>
                <w:color w:val="333333"/>
                <w:sz w:val="21"/>
                <w:szCs w:val="21"/>
              </w:rPr>
              <w:br/>
            </w:r>
            <w:proofErr w:type="spellStart"/>
            <w:r>
              <w:rPr>
                <w:rFonts w:ascii="Open Sans" w:hAnsi="Open Sans" w:cs="Helvetica"/>
                <w:color w:val="333333"/>
                <w:sz w:val="21"/>
                <w:szCs w:val="21"/>
              </w:rPr>
              <w:t>Schlievert</w:t>
            </w:r>
            <w:proofErr w:type="spellEnd"/>
            <w:r>
              <w:rPr>
                <w:rFonts w:ascii="Open Sans" w:hAnsi="Open Sans" w:cs="Helvetica"/>
                <w:color w:val="333333"/>
                <w:sz w:val="21"/>
                <w:szCs w:val="21"/>
              </w:rPr>
              <w:t xml:space="preserve">, PM 2001, ‘Use of intravenous immunoglobulin in the treatment of staphylococcal and streptococcal toxic shock syndromes and related illnesses’, </w:t>
            </w:r>
            <w:r>
              <w:rPr>
                <w:rStyle w:val="Emphasis"/>
                <w:rFonts w:ascii="Open Sans" w:hAnsi="Open Sans" w:cs="Helvetica"/>
                <w:color w:val="333333"/>
                <w:sz w:val="21"/>
                <w:szCs w:val="21"/>
              </w:rPr>
              <w:t xml:space="preserve">Journal of Allergy </w:t>
            </w:r>
            <w:r>
              <w:rPr>
                <w:rStyle w:val="Emphasis"/>
                <w:rFonts w:ascii="Open Sans" w:hAnsi="Open Sans" w:cs="Helvetica"/>
                <w:color w:val="333333"/>
                <w:sz w:val="21"/>
                <w:szCs w:val="21"/>
              </w:rPr>
              <w:lastRenderedPageBreak/>
              <w:t>and Clinical Immunology</w:t>
            </w:r>
            <w:r>
              <w:rPr>
                <w:rFonts w:ascii="Open Sans" w:hAnsi="Open Sans" w:cs="Helvetica"/>
                <w:color w:val="333333"/>
                <w:sz w:val="21"/>
                <w:szCs w:val="21"/>
              </w:rPr>
              <w:t>, vol. 108, no. 4, suppl., pp. S107–10.</w:t>
            </w:r>
            <w:r>
              <w:rPr>
                <w:rFonts w:ascii="Open Sans" w:hAnsi="Open Sans" w:cs="Helvetica"/>
                <w:color w:val="333333"/>
                <w:sz w:val="21"/>
                <w:szCs w:val="21"/>
              </w:rPr>
              <w:br/>
              <w:t xml:space="preserve">Schrage, B, </w:t>
            </w:r>
            <w:proofErr w:type="spellStart"/>
            <w:r>
              <w:rPr>
                <w:rFonts w:ascii="Open Sans" w:hAnsi="Open Sans" w:cs="Helvetica"/>
                <w:color w:val="333333"/>
                <w:sz w:val="21"/>
                <w:szCs w:val="21"/>
              </w:rPr>
              <w:t>Duan</w:t>
            </w:r>
            <w:proofErr w:type="spellEnd"/>
            <w:r>
              <w:rPr>
                <w:rFonts w:ascii="Open Sans" w:hAnsi="Open Sans" w:cs="Helvetica"/>
                <w:color w:val="333333"/>
                <w:sz w:val="21"/>
                <w:szCs w:val="21"/>
              </w:rPr>
              <w:t xml:space="preserve">, G, Yang, LP, et al 2006, ‘Different preparations of intravenous immunoglobulin vary in their efficacy to neutralise streptococcal </w:t>
            </w:r>
            <w:proofErr w:type="spellStart"/>
            <w:r>
              <w:rPr>
                <w:rFonts w:ascii="Open Sans" w:hAnsi="Open Sans" w:cs="Helvetica"/>
                <w:color w:val="333333"/>
                <w:sz w:val="21"/>
                <w:szCs w:val="21"/>
              </w:rPr>
              <w:t>superantigens</w:t>
            </w:r>
            <w:proofErr w:type="spellEnd"/>
            <w:r>
              <w:rPr>
                <w:rFonts w:ascii="Open Sans" w:hAnsi="Open Sans" w:cs="Helvetica"/>
                <w:color w:val="333333"/>
                <w:sz w:val="21"/>
                <w:szCs w:val="21"/>
              </w:rPr>
              <w:t xml:space="preserve">: implications for treatment of streptococcal toxic shock syndrome’, </w:t>
            </w:r>
            <w:r>
              <w:rPr>
                <w:rStyle w:val="Emphasis"/>
                <w:rFonts w:ascii="Open Sans" w:hAnsi="Open Sans" w:cs="Helvetica"/>
                <w:color w:val="333333"/>
                <w:sz w:val="21"/>
                <w:szCs w:val="21"/>
              </w:rPr>
              <w:t>Clinical Infectious Diseases</w:t>
            </w:r>
            <w:r>
              <w:rPr>
                <w:rFonts w:ascii="Open Sans" w:hAnsi="Open Sans" w:cs="Helvetica"/>
                <w:color w:val="333333"/>
                <w:sz w:val="21"/>
                <w:szCs w:val="21"/>
              </w:rPr>
              <w:t>, vol. 43, no. 6, pp. 743–6.</w:t>
            </w:r>
            <w:r>
              <w:rPr>
                <w:rFonts w:ascii="Open Sans" w:hAnsi="Open Sans" w:cs="Helvetica"/>
                <w:color w:val="333333"/>
                <w:sz w:val="21"/>
                <w:szCs w:val="21"/>
              </w:rPr>
              <w:br/>
              <w:t>Stevens, DL 1998, ‘Rationale for the use of intravenous gamma globulin in the treatment of streptococcal toxic shock syndrome’,</w:t>
            </w:r>
            <w:r>
              <w:rPr>
                <w:rStyle w:val="Emphasis"/>
                <w:rFonts w:ascii="Open Sans" w:hAnsi="Open Sans" w:cs="Helvetica"/>
                <w:color w:val="333333"/>
                <w:sz w:val="21"/>
                <w:szCs w:val="21"/>
              </w:rPr>
              <w:t xml:space="preserve"> Clinical Infectious Diseases</w:t>
            </w:r>
            <w:r>
              <w:rPr>
                <w:rFonts w:ascii="Open Sans" w:hAnsi="Open Sans" w:cs="Helvetica"/>
                <w:color w:val="333333"/>
                <w:sz w:val="21"/>
                <w:szCs w:val="21"/>
              </w:rPr>
              <w:t>, vol. 26(3), pp. 639–41.</w:t>
            </w:r>
            <w:r>
              <w:rPr>
                <w:rFonts w:ascii="Open Sans" w:hAnsi="Open Sans" w:cs="Helvetica"/>
                <w:color w:val="333333"/>
                <w:sz w:val="21"/>
                <w:szCs w:val="21"/>
              </w:rPr>
              <w:br/>
              <w:t xml:space="preserve">Working Group on Severe Streptococcal Infections 1993, ‘Defining the Group A streptococcal toxic shock syndrome: rationale and consensus definition’, </w:t>
            </w:r>
            <w:r>
              <w:rPr>
                <w:rStyle w:val="Emphasis"/>
                <w:rFonts w:ascii="Open Sans" w:hAnsi="Open Sans" w:cs="Helvetica"/>
                <w:color w:val="333333"/>
                <w:sz w:val="21"/>
                <w:szCs w:val="21"/>
              </w:rPr>
              <w:t>Journal of the American Medical Association</w:t>
            </w:r>
            <w:r>
              <w:rPr>
                <w:rFonts w:ascii="Open Sans" w:hAnsi="Open Sans" w:cs="Helvetica"/>
                <w:color w:val="333333"/>
                <w:sz w:val="21"/>
                <w:szCs w:val="21"/>
              </w:rPr>
              <w:t>, vol. 269, pp. 390–401.</w:t>
            </w:r>
          </w:p>
        </w:tc>
      </w:tr>
      <w:tr w:rsidR="000E63CB" w:rsidRPr="003E7C6E" w14:paraId="21D7FE01" w14:textId="77777777" w:rsidTr="00E457A0">
        <w:trPr>
          <w:gridBefore w:val="2"/>
          <w:wBefore w:w="34" w:type="dxa"/>
        </w:trPr>
        <w:tc>
          <w:tcPr>
            <w:tcW w:w="15276" w:type="dxa"/>
            <w:gridSpan w:val="8"/>
            <w:shd w:val="clear" w:color="auto" w:fill="DBE5F1" w:themeFill="accent1" w:themeFillTint="33"/>
          </w:tcPr>
          <w:p w14:paraId="64A4D04D" w14:textId="515DD645" w:rsidR="000E63CB" w:rsidRPr="003E7C6E" w:rsidRDefault="000E63CB" w:rsidP="003E7C6E">
            <w:pPr>
              <w:spacing w:before="100" w:beforeAutospacing="1" w:after="100" w:afterAutospacing="1" w:line="360" w:lineRule="atLeast"/>
              <w:jc w:val="center"/>
              <w:rPr>
                <w:rFonts w:asciiTheme="minorHAnsi" w:eastAsia="Times New Roman" w:hAnsiTheme="minorHAnsi" w:cs="Times New Roman"/>
                <w:b/>
                <w:color w:val="000000"/>
                <w:lang w:val="en" w:eastAsia="en-AU"/>
              </w:rPr>
            </w:pPr>
            <w:r w:rsidRPr="003E7C6E">
              <w:rPr>
                <w:rFonts w:asciiTheme="minorHAnsi" w:eastAsia="Times New Roman" w:hAnsiTheme="minorHAnsi" w:cs="Times New Roman"/>
                <w:b/>
                <w:color w:val="000000"/>
                <w:lang w:val="en" w:eastAsia="en-AU"/>
              </w:rPr>
              <w:lastRenderedPageBreak/>
              <w:t>END OF DOCUMENT</w:t>
            </w:r>
          </w:p>
        </w:tc>
      </w:tr>
    </w:tbl>
    <w:p w14:paraId="17E4BE91" w14:textId="77777777" w:rsidR="00401119" w:rsidRPr="00AE68F2" w:rsidRDefault="00401119" w:rsidP="009715A9">
      <w:pPr>
        <w:spacing w:before="100" w:beforeAutospacing="1" w:after="100" w:afterAutospacing="1" w:line="360" w:lineRule="atLeast"/>
        <w:rPr>
          <w:rFonts w:asciiTheme="minorHAnsi" w:hAnsiTheme="minorHAnsi"/>
          <w:b/>
          <w:bCs/>
          <w:color w:val="FFFFFF"/>
        </w:rPr>
      </w:pPr>
    </w:p>
    <w:sectPr w:rsidR="00401119" w:rsidRPr="00AE68F2" w:rsidSect="00933D21">
      <w:headerReference w:type="even" r:id="rId14"/>
      <w:footerReference w:type="default" r:id="rId15"/>
      <w:pgSz w:w="16838" w:h="11906" w:orient="landscape" w:code="8"/>
      <w:pgMar w:top="720" w:right="720" w:bottom="720" w:left="720" w:header="708" w:footer="1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3B720" w14:textId="77777777" w:rsidR="00933D21" w:rsidRDefault="00933D21" w:rsidP="00856708">
      <w:pPr>
        <w:spacing w:after="0"/>
      </w:pPr>
      <w:r>
        <w:separator/>
      </w:r>
    </w:p>
  </w:endnote>
  <w:endnote w:type="continuationSeparator" w:id="0">
    <w:p w14:paraId="03E95124" w14:textId="77777777" w:rsidR="00933D21" w:rsidRDefault="00933D21"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Open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00B36" w14:textId="77777777" w:rsidR="00933D21" w:rsidRPr="00856708" w:rsidRDefault="00933D21" w:rsidP="00AF650A">
    <w:pPr>
      <w:pStyle w:val="Footer"/>
      <w:tabs>
        <w:tab w:val="clear" w:pos="9026"/>
        <w:tab w:val="right" w:pos="14034"/>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0E63CB">
      <w:rPr>
        <w:noProof/>
        <w:sz w:val="20"/>
        <w:szCs w:val="20"/>
      </w:rPr>
      <w:t>9</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F74AD" w14:textId="77777777" w:rsidR="00933D21" w:rsidRDefault="00933D21" w:rsidP="00856708">
      <w:pPr>
        <w:spacing w:after="0"/>
      </w:pPr>
      <w:r>
        <w:separator/>
      </w:r>
    </w:p>
  </w:footnote>
  <w:footnote w:type="continuationSeparator" w:id="0">
    <w:p w14:paraId="4B1D6FBB" w14:textId="77777777" w:rsidR="00933D21" w:rsidRDefault="00933D21"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D0189" w14:textId="77777777" w:rsidR="00933D21" w:rsidRDefault="000E63CB">
    <w:pPr>
      <w:pStyle w:val="Header"/>
    </w:pPr>
    <w:sdt>
      <w:sdtPr>
        <w:id w:val="171999623"/>
        <w:placeholder>
          <w:docPart w:val="4318DC39B0B5714AA1272BAEF2DE62E2"/>
        </w:placeholder>
        <w:temporary/>
        <w:showingPlcHdr/>
      </w:sdtPr>
      <w:sdtEndPr/>
      <w:sdtContent>
        <w:r w:rsidR="00933D21">
          <w:t>[Type text]</w:t>
        </w:r>
      </w:sdtContent>
    </w:sdt>
    <w:r w:rsidR="00933D21">
      <w:ptab w:relativeTo="margin" w:alignment="center" w:leader="none"/>
    </w:r>
    <w:sdt>
      <w:sdtPr>
        <w:id w:val="171999624"/>
        <w:placeholder>
          <w:docPart w:val="255F24039E3CD646BF4EC89E9F52221B"/>
        </w:placeholder>
        <w:temporary/>
        <w:showingPlcHdr/>
      </w:sdtPr>
      <w:sdtEndPr/>
      <w:sdtContent>
        <w:r w:rsidR="00933D21">
          <w:t>[Type text]</w:t>
        </w:r>
      </w:sdtContent>
    </w:sdt>
    <w:r w:rsidR="00933D21">
      <w:ptab w:relativeTo="margin" w:alignment="right" w:leader="none"/>
    </w:r>
    <w:sdt>
      <w:sdtPr>
        <w:id w:val="171999625"/>
        <w:placeholder>
          <w:docPart w:val="B2E672F6A46DC34D85472E78455D4ECB"/>
        </w:placeholder>
        <w:temporary/>
        <w:showingPlcHdr/>
      </w:sdtPr>
      <w:sdtEndPr/>
      <w:sdtContent>
        <w:r w:rsidR="00933D21">
          <w:t>[Type text]</w:t>
        </w:r>
      </w:sdtContent>
    </w:sdt>
  </w:p>
  <w:p w14:paraId="1F70CB0D" w14:textId="77777777" w:rsidR="00933D21" w:rsidRDefault="00933D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2717"/>
    <w:multiLevelType w:val="hybridMultilevel"/>
    <w:tmpl w:val="AE54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21A4A"/>
    <w:multiLevelType w:val="hybridMultilevel"/>
    <w:tmpl w:val="667A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D28E8"/>
    <w:multiLevelType w:val="multilevel"/>
    <w:tmpl w:val="15DAB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C16E89"/>
    <w:multiLevelType w:val="hybridMultilevel"/>
    <w:tmpl w:val="9AA08E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9C06A03"/>
    <w:multiLevelType w:val="hybridMultilevel"/>
    <w:tmpl w:val="67406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0322F32"/>
    <w:multiLevelType w:val="multilevel"/>
    <w:tmpl w:val="9402B3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3D040EAC"/>
    <w:multiLevelType w:val="hybridMultilevel"/>
    <w:tmpl w:val="27425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6E16B4"/>
    <w:multiLevelType w:val="hybridMultilevel"/>
    <w:tmpl w:val="3D728716"/>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9">
    <w:nsid w:val="4A590BD4"/>
    <w:multiLevelType w:val="hybridMultilevel"/>
    <w:tmpl w:val="4A14703E"/>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0">
    <w:nsid w:val="4F6E7A0A"/>
    <w:multiLevelType w:val="hybridMultilevel"/>
    <w:tmpl w:val="F418E5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2D80075"/>
    <w:multiLevelType w:val="multilevel"/>
    <w:tmpl w:val="844E1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9904A7"/>
    <w:multiLevelType w:val="hybridMultilevel"/>
    <w:tmpl w:val="3DE00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3DD63F3"/>
    <w:multiLevelType w:val="multilevel"/>
    <w:tmpl w:val="5556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5C2704B"/>
    <w:multiLevelType w:val="multilevel"/>
    <w:tmpl w:val="9B661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B3A3CC5"/>
    <w:multiLevelType w:val="multilevel"/>
    <w:tmpl w:val="219EE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15"/>
  </w:num>
  <w:num w:numId="4">
    <w:abstractNumId w:val="11"/>
  </w:num>
  <w:num w:numId="5">
    <w:abstractNumId w:val="13"/>
  </w:num>
  <w:num w:numId="6">
    <w:abstractNumId w:val="14"/>
  </w:num>
  <w:num w:numId="7">
    <w:abstractNumId w:val="5"/>
  </w:num>
  <w:num w:numId="8">
    <w:abstractNumId w:val="10"/>
  </w:num>
  <w:num w:numId="9">
    <w:abstractNumId w:val="3"/>
  </w:num>
  <w:num w:numId="10">
    <w:abstractNumId w:val="0"/>
  </w:num>
  <w:num w:numId="11">
    <w:abstractNumId w:val="1"/>
  </w:num>
  <w:num w:numId="12">
    <w:abstractNumId w:val="8"/>
  </w:num>
  <w:num w:numId="13">
    <w:abstractNumId w:val="7"/>
  </w:num>
  <w:num w:numId="14">
    <w:abstractNumId w:val="9"/>
  </w:num>
  <w:num w:numId="15">
    <w:abstractNumId w:val="4"/>
  </w:num>
  <w:num w:numId="1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hideSpellingErrors/>
  <w:hideGrammaticalErrors/>
  <w:proofState w:spelling="clean" w:grammar="clean"/>
  <w:attachedTemplate r:id="rId1"/>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BD"/>
    <w:rsid w:val="00011339"/>
    <w:rsid w:val="0002479D"/>
    <w:rsid w:val="00036EDC"/>
    <w:rsid w:val="00040E71"/>
    <w:rsid w:val="000648B7"/>
    <w:rsid w:val="000666FC"/>
    <w:rsid w:val="0006713B"/>
    <w:rsid w:val="00070ABB"/>
    <w:rsid w:val="00070E7B"/>
    <w:rsid w:val="000725A5"/>
    <w:rsid w:val="000860B9"/>
    <w:rsid w:val="00094062"/>
    <w:rsid w:val="000B12CB"/>
    <w:rsid w:val="000B40A7"/>
    <w:rsid w:val="000C033B"/>
    <w:rsid w:val="000D2614"/>
    <w:rsid w:val="000E2EB1"/>
    <w:rsid w:val="000E63CB"/>
    <w:rsid w:val="00100457"/>
    <w:rsid w:val="00105D8F"/>
    <w:rsid w:val="001247EB"/>
    <w:rsid w:val="00125082"/>
    <w:rsid w:val="00126E6D"/>
    <w:rsid w:val="00133F9F"/>
    <w:rsid w:val="00154F1C"/>
    <w:rsid w:val="001553D2"/>
    <w:rsid w:val="00175C82"/>
    <w:rsid w:val="001845E1"/>
    <w:rsid w:val="00195DF7"/>
    <w:rsid w:val="001971B4"/>
    <w:rsid w:val="001A097E"/>
    <w:rsid w:val="001A3C47"/>
    <w:rsid w:val="001A59EA"/>
    <w:rsid w:val="001A7757"/>
    <w:rsid w:val="001B270E"/>
    <w:rsid w:val="001B603B"/>
    <w:rsid w:val="001D2781"/>
    <w:rsid w:val="001E3320"/>
    <w:rsid w:val="001E6F4E"/>
    <w:rsid w:val="001F0B66"/>
    <w:rsid w:val="001F20F5"/>
    <w:rsid w:val="001F5884"/>
    <w:rsid w:val="00221C9F"/>
    <w:rsid w:val="00225477"/>
    <w:rsid w:val="0023523E"/>
    <w:rsid w:val="002443F8"/>
    <w:rsid w:val="002537F2"/>
    <w:rsid w:val="002608B9"/>
    <w:rsid w:val="00260AB3"/>
    <w:rsid w:val="00271AA0"/>
    <w:rsid w:val="00275108"/>
    <w:rsid w:val="00287F96"/>
    <w:rsid w:val="00295CD3"/>
    <w:rsid w:val="00297991"/>
    <w:rsid w:val="002D0D26"/>
    <w:rsid w:val="002E7263"/>
    <w:rsid w:val="002F2EF0"/>
    <w:rsid w:val="002F3C9E"/>
    <w:rsid w:val="003040C4"/>
    <w:rsid w:val="003135AA"/>
    <w:rsid w:val="0032018C"/>
    <w:rsid w:val="00325297"/>
    <w:rsid w:val="003279B9"/>
    <w:rsid w:val="003440C1"/>
    <w:rsid w:val="00344F8E"/>
    <w:rsid w:val="00345163"/>
    <w:rsid w:val="003512A4"/>
    <w:rsid w:val="00370E54"/>
    <w:rsid w:val="00375B4C"/>
    <w:rsid w:val="00396DC9"/>
    <w:rsid w:val="003A1CDF"/>
    <w:rsid w:val="003A331F"/>
    <w:rsid w:val="003B28FA"/>
    <w:rsid w:val="003D1E94"/>
    <w:rsid w:val="003D27F1"/>
    <w:rsid w:val="003D4DCC"/>
    <w:rsid w:val="003E7C6E"/>
    <w:rsid w:val="003F1C34"/>
    <w:rsid w:val="00401119"/>
    <w:rsid w:val="00405321"/>
    <w:rsid w:val="00427894"/>
    <w:rsid w:val="004464E3"/>
    <w:rsid w:val="00460480"/>
    <w:rsid w:val="004607DE"/>
    <w:rsid w:val="00461AB0"/>
    <w:rsid w:val="004825CB"/>
    <w:rsid w:val="004971CE"/>
    <w:rsid w:val="004B3F94"/>
    <w:rsid w:val="004B4B9A"/>
    <w:rsid w:val="004D4636"/>
    <w:rsid w:val="004D4A55"/>
    <w:rsid w:val="004E1EB3"/>
    <w:rsid w:val="004F320E"/>
    <w:rsid w:val="00502186"/>
    <w:rsid w:val="00502A94"/>
    <w:rsid w:val="00507C8F"/>
    <w:rsid w:val="0051064D"/>
    <w:rsid w:val="005250DB"/>
    <w:rsid w:val="00525D15"/>
    <w:rsid w:val="00532B5F"/>
    <w:rsid w:val="00533313"/>
    <w:rsid w:val="00540020"/>
    <w:rsid w:val="00544A38"/>
    <w:rsid w:val="005533AE"/>
    <w:rsid w:val="00555B41"/>
    <w:rsid w:val="0056145B"/>
    <w:rsid w:val="00562489"/>
    <w:rsid w:val="00571E8E"/>
    <w:rsid w:val="00572393"/>
    <w:rsid w:val="0058089D"/>
    <w:rsid w:val="00580D93"/>
    <w:rsid w:val="00586D24"/>
    <w:rsid w:val="005874DB"/>
    <w:rsid w:val="005938D0"/>
    <w:rsid w:val="005B1275"/>
    <w:rsid w:val="005C23AD"/>
    <w:rsid w:val="005C55D0"/>
    <w:rsid w:val="005D41A3"/>
    <w:rsid w:val="005E2598"/>
    <w:rsid w:val="005E3562"/>
    <w:rsid w:val="005F6D36"/>
    <w:rsid w:val="006134F8"/>
    <w:rsid w:val="0062160C"/>
    <w:rsid w:val="006542B9"/>
    <w:rsid w:val="006562E8"/>
    <w:rsid w:val="00671C69"/>
    <w:rsid w:val="006771CE"/>
    <w:rsid w:val="00685779"/>
    <w:rsid w:val="006909F4"/>
    <w:rsid w:val="00695F52"/>
    <w:rsid w:val="006B0F84"/>
    <w:rsid w:val="006B2B0F"/>
    <w:rsid w:val="006C3D7C"/>
    <w:rsid w:val="006C4643"/>
    <w:rsid w:val="006E147E"/>
    <w:rsid w:val="006E434F"/>
    <w:rsid w:val="006F4049"/>
    <w:rsid w:val="007153DA"/>
    <w:rsid w:val="00717D84"/>
    <w:rsid w:val="007322C3"/>
    <w:rsid w:val="007342DB"/>
    <w:rsid w:val="00742B78"/>
    <w:rsid w:val="0074479F"/>
    <w:rsid w:val="00744CEC"/>
    <w:rsid w:val="007528F5"/>
    <w:rsid w:val="00767F78"/>
    <w:rsid w:val="00770293"/>
    <w:rsid w:val="00780598"/>
    <w:rsid w:val="0078301C"/>
    <w:rsid w:val="00785DA4"/>
    <w:rsid w:val="00795ACA"/>
    <w:rsid w:val="007A2B44"/>
    <w:rsid w:val="007B4075"/>
    <w:rsid w:val="007B71C8"/>
    <w:rsid w:val="007C2551"/>
    <w:rsid w:val="007C37E1"/>
    <w:rsid w:val="007D35FB"/>
    <w:rsid w:val="007D5647"/>
    <w:rsid w:val="007F3DB8"/>
    <w:rsid w:val="007F60CE"/>
    <w:rsid w:val="008118A1"/>
    <w:rsid w:val="00814EBA"/>
    <w:rsid w:val="00814FA0"/>
    <w:rsid w:val="00816C49"/>
    <w:rsid w:val="00822F78"/>
    <w:rsid w:val="0082430E"/>
    <w:rsid w:val="00825AF2"/>
    <w:rsid w:val="0082663A"/>
    <w:rsid w:val="00834425"/>
    <w:rsid w:val="00842D03"/>
    <w:rsid w:val="00847293"/>
    <w:rsid w:val="00856708"/>
    <w:rsid w:val="00856779"/>
    <w:rsid w:val="00883368"/>
    <w:rsid w:val="00893E0A"/>
    <w:rsid w:val="008A1091"/>
    <w:rsid w:val="008A5596"/>
    <w:rsid w:val="008A56E9"/>
    <w:rsid w:val="008B3C9E"/>
    <w:rsid w:val="008B5F91"/>
    <w:rsid w:val="008B6271"/>
    <w:rsid w:val="008B7ED3"/>
    <w:rsid w:val="008C4459"/>
    <w:rsid w:val="008C51F9"/>
    <w:rsid w:val="008C7A1A"/>
    <w:rsid w:val="00900274"/>
    <w:rsid w:val="00904018"/>
    <w:rsid w:val="00933D21"/>
    <w:rsid w:val="00935A91"/>
    <w:rsid w:val="00940140"/>
    <w:rsid w:val="009404B2"/>
    <w:rsid w:val="009421A4"/>
    <w:rsid w:val="00951B85"/>
    <w:rsid w:val="009715A9"/>
    <w:rsid w:val="009836EC"/>
    <w:rsid w:val="00991FB8"/>
    <w:rsid w:val="00993FB4"/>
    <w:rsid w:val="009A7641"/>
    <w:rsid w:val="009C2E16"/>
    <w:rsid w:val="009C4CA4"/>
    <w:rsid w:val="009C6325"/>
    <w:rsid w:val="009D19EE"/>
    <w:rsid w:val="009E38CC"/>
    <w:rsid w:val="009E5588"/>
    <w:rsid w:val="009E5681"/>
    <w:rsid w:val="00A01274"/>
    <w:rsid w:val="00A1080E"/>
    <w:rsid w:val="00A138FA"/>
    <w:rsid w:val="00A23319"/>
    <w:rsid w:val="00A445C4"/>
    <w:rsid w:val="00A5345D"/>
    <w:rsid w:val="00A57A03"/>
    <w:rsid w:val="00A60FCB"/>
    <w:rsid w:val="00A63454"/>
    <w:rsid w:val="00A71FD8"/>
    <w:rsid w:val="00A77FB6"/>
    <w:rsid w:val="00A9161D"/>
    <w:rsid w:val="00A96745"/>
    <w:rsid w:val="00AB465F"/>
    <w:rsid w:val="00AB75DD"/>
    <w:rsid w:val="00AC121C"/>
    <w:rsid w:val="00AC5F0B"/>
    <w:rsid w:val="00AC612A"/>
    <w:rsid w:val="00AD389B"/>
    <w:rsid w:val="00AE0DE0"/>
    <w:rsid w:val="00AE53FC"/>
    <w:rsid w:val="00AE68F2"/>
    <w:rsid w:val="00AF5B79"/>
    <w:rsid w:val="00AF650A"/>
    <w:rsid w:val="00B10F26"/>
    <w:rsid w:val="00B11B17"/>
    <w:rsid w:val="00B27962"/>
    <w:rsid w:val="00B32820"/>
    <w:rsid w:val="00B35385"/>
    <w:rsid w:val="00B3726E"/>
    <w:rsid w:val="00B37382"/>
    <w:rsid w:val="00B4181A"/>
    <w:rsid w:val="00B44EA3"/>
    <w:rsid w:val="00B4755B"/>
    <w:rsid w:val="00B52FBD"/>
    <w:rsid w:val="00B57717"/>
    <w:rsid w:val="00B717BF"/>
    <w:rsid w:val="00B77CE3"/>
    <w:rsid w:val="00B8323E"/>
    <w:rsid w:val="00B926C4"/>
    <w:rsid w:val="00B94604"/>
    <w:rsid w:val="00BA1EBD"/>
    <w:rsid w:val="00BA313A"/>
    <w:rsid w:val="00BC7BCC"/>
    <w:rsid w:val="00BD341A"/>
    <w:rsid w:val="00BD637C"/>
    <w:rsid w:val="00BD6B4E"/>
    <w:rsid w:val="00BF23E8"/>
    <w:rsid w:val="00C05E1D"/>
    <w:rsid w:val="00C06419"/>
    <w:rsid w:val="00C07E96"/>
    <w:rsid w:val="00C22FF3"/>
    <w:rsid w:val="00C24D0D"/>
    <w:rsid w:val="00C34033"/>
    <w:rsid w:val="00C42E96"/>
    <w:rsid w:val="00C4553C"/>
    <w:rsid w:val="00C4753A"/>
    <w:rsid w:val="00C51AE4"/>
    <w:rsid w:val="00C54282"/>
    <w:rsid w:val="00C806D0"/>
    <w:rsid w:val="00C83B15"/>
    <w:rsid w:val="00C92A1E"/>
    <w:rsid w:val="00C97D3F"/>
    <w:rsid w:val="00CA345D"/>
    <w:rsid w:val="00CA3850"/>
    <w:rsid w:val="00CB430E"/>
    <w:rsid w:val="00CB5E24"/>
    <w:rsid w:val="00CD6196"/>
    <w:rsid w:val="00CE0277"/>
    <w:rsid w:val="00CE279D"/>
    <w:rsid w:val="00D13700"/>
    <w:rsid w:val="00D173B0"/>
    <w:rsid w:val="00D27B52"/>
    <w:rsid w:val="00D32D84"/>
    <w:rsid w:val="00D467E3"/>
    <w:rsid w:val="00D512C9"/>
    <w:rsid w:val="00D62F40"/>
    <w:rsid w:val="00D63549"/>
    <w:rsid w:val="00D66EE0"/>
    <w:rsid w:val="00D73936"/>
    <w:rsid w:val="00D75182"/>
    <w:rsid w:val="00D764F3"/>
    <w:rsid w:val="00D9319E"/>
    <w:rsid w:val="00D93EFB"/>
    <w:rsid w:val="00DA75F5"/>
    <w:rsid w:val="00DC55D3"/>
    <w:rsid w:val="00DF781C"/>
    <w:rsid w:val="00E0042B"/>
    <w:rsid w:val="00E05EF5"/>
    <w:rsid w:val="00E14773"/>
    <w:rsid w:val="00E231E3"/>
    <w:rsid w:val="00E24316"/>
    <w:rsid w:val="00E256D0"/>
    <w:rsid w:val="00E34794"/>
    <w:rsid w:val="00E414E1"/>
    <w:rsid w:val="00E457A0"/>
    <w:rsid w:val="00E61C55"/>
    <w:rsid w:val="00E65624"/>
    <w:rsid w:val="00E70A2E"/>
    <w:rsid w:val="00E70ACC"/>
    <w:rsid w:val="00E70FDC"/>
    <w:rsid w:val="00E745E8"/>
    <w:rsid w:val="00E75953"/>
    <w:rsid w:val="00E802C0"/>
    <w:rsid w:val="00E9170D"/>
    <w:rsid w:val="00EA59F1"/>
    <w:rsid w:val="00EA78D0"/>
    <w:rsid w:val="00EB63D4"/>
    <w:rsid w:val="00EB7EA5"/>
    <w:rsid w:val="00EE096A"/>
    <w:rsid w:val="00EE0E57"/>
    <w:rsid w:val="00EE517D"/>
    <w:rsid w:val="00EF0457"/>
    <w:rsid w:val="00EF3986"/>
    <w:rsid w:val="00F26FF4"/>
    <w:rsid w:val="00F31D02"/>
    <w:rsid w:val="00F42BA9"/>
    <w:rsid w:val="00F4386E"/>
    <w:rsid w:val="00F45071"/>
    <w:rsid w:val="00F56889"/>
    <w:rsid w:val="00F620F9"/>
    <w:rsid w:val="00F62275"/>
    <w:rsid w:val="00F873C6"/>
    <w:rsid w:val="00F97569"/>
    <w:rsid w:val="00FA743D"/>
    <w:rsid w:val="00FB4AB8"/>
    <w:rsid w:val="00FC6796"/>
    <w:rsid w:val="00FD0B58"/>
    <w:rsid w:val="00FE25FE"/>
    <w:rsid w:val="00FE3A39"/>
    <w:rsid w:val="00FF3D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34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CA345D"/>
    <w:pPr>
      <w:spacing w:before="100" w:beforeAutospacing="1" w:after="100" w:afterAutospacing="1"/>
    </w:pPr>
    <w:rPr>
      <w:rFonts w:asciiTheme="minorHAnsi" w:eastAsiaTheme="minorHAnsi" w:hAnsiTheme="minorHAnsi" w:cs="Times New Roman"/>
      <w:sz w:val="20"/>
      <w:szCs w:val="20"/>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CA345D"/>
    <w:pPr>
      <w:spacing w:before="100" w:beforeAutospacing="1" w:after="100" w:afterAutospacing="1"/>
    </w:pPr>
    <w:rPr>
      <w:rFonts w:asciiTheme="minorHAnsi" w:eastAsiaTheme="minorHAnsi" w:hAnsiTheme="minorHAnsi" w:cs="Times New Roman"/>
      <w:sz w:val="20"/>
      <w:szCs w:val="20"/>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306">
      <w:bodyDiv w:val="1"/>
      <w:marLeft w:val="0"/>
      <w:marRight w:val="0"/>
      <w:marTop w:val="0"/>
      <w:marBottom w:val="0"/>
      <w:divBdr>
        <w:top w:val="none" w:sz="0" w:space="0" w:color="auto"/>
        <w:left w:val="none" w:sz="0" w:space="0" w:color="auto"/>
        <w:bottom w:val="none" w:sz="0" w:space="0" w:color="auto"/>
        <w:right w:val="none" w:sz="0" w:space="0" w:color="auto"/>
      </w:divBdr>
      <w:divsChild>
        <w:div w:id="1877234290">
          <w:marLeft w:val="0"/>
          <w:marRight w:val="0"/>
          <w:marTop w:val="0"/>
          <w:marBottom w:val="0"/>
          <w:divBdr>
            <w:top w:val="none" w:sz="0" w:space="0" w:color="auto"/>
            <w:left w:val="none" w:sz="0" w:space="0" w:color="auto"/>
            <w:bottom w:val="none" w:sz="0" w:space="0" w:color="auto"/>
            <w:right w:val="none" w:sz="0" w:space="0" w:color="auto"/>
          </w:divBdr>
          <w:divsChild>
            <w:div w:id="1817411235">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17461747">
      <w:bodyDiv w:val="1"/>
      <w:marLeft w:val="0"/>
      <w:marRight w:val="0"/>
      <w:marTop w:val="0"/>
      <w:marBottom w:val="0"/>
      <w:divBdr>
        <w:top w:val="none" w:sz="0" w:space="0" w:color="auto"/>
        <w:left w:val="none" w:sz="0" w:space="0" w:color="auto"/>
        <w:bottom w:val="none" w:sz="0" w:space="0" w:color="auto"/>
        <w:right w:val="none" w:sz="0" w:space="0" w:color="auto"/>
      </w:divBdr>
      <w:divsChild>
        <w:div w:id="241259920">
          <w:marLeft w:val="0"/>
          <w:marRight w:val="0"/>
          <w:marTop w:val="0"/>
          <w:marBottom w:val="0"/>
          <w:divBdr>
            <w:top w:val="none" w:sz="0" w:space="0" w:color="auto"/>
            <w:left w:val="none" w:sz="0" w:space="0" w:color="auto"/>
            <w:bottom w:val="none" w:sz="0" w:space="0" w:color="auto"/>
            <w:right w:val="none" w:sz="0" w:space="0" w:color="auto"/>
          </w:divBdr>
          <w:divsChild>
            <w:div w:id="1228222561">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27438837">
      <w:bodyDiv w:val="1"/>
      <w:marLeft w:val="0"/>
      <w:marRight w:val="0"/>
      <w:marTop w:val="0"/>
      <w:marBottom w:val="0"/>
      <w:divBdr>
        <w:top w:val="none" w:sz="0" w:space="0" w:color="auto"/>
        <w:left w:val="none" w:sz="0" w:space="0" w:color="auto"/>
        <w:bottom w:val="none" w:sz="0" w:space="0" w:color="auto"/>
        <w:right w:val="none" w:sz="0" w:space="0" w:color="auto"/>
      </w:divBdr>
      <w:divsChild>
        <w:div w:id="1464496086">
          <w:marLeft w:val="0"/>
          <w:marRight w:val="0"/>
          <w:marTop w:val="0"/>
          <w:marBottom w:val="0"/>
          <w:divBdr>
            <w:top w:val="none" w:sz="0" w:space="0" w:color="auto"/>
            <w:left w:val="none" w:sz="0" w:space="0" w:color="auto"/>
            <w:bottom w:val="none" w:sz="0" w:space="0" w:color="auto"/>
            <w:right w:val="none" w:sz="0" w:space="0" w:color="auto"/>
          </w:divBdr>
          <w:divsChild>
            <w:div w:id="1682583187">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48682129">
      <w:bodyDiv w:val="1"/>
      <w:marLeft w:val="0"/>
      <w:marRight w:val="0"/>
      <w:marTop w:val="0"/>
      <w:marBottom w:val="0"/>
      <w:divBdr>
        <w:top w:val="none" w:sz="0" w:space="0" w:color="auto"/>
        <w:left w:val="none" w:sz="0" w:space="0" w:color="auto"/>
        <w:bottom w:val="none" w:sz="0" w:space="0" w:color="auto"/>
        <w:right w:val="none" w:sz="0" w:space="0" w:color="auto"/>
      </w:divBdr>
      <w:divsChild>
        <w:div w:id="1673339200">
          <w:marLeft w:val="0"/>
          <w:marRight w:val="0"/>
          <w:marTop w:val="0"/>
          <w:marBottom w:val="0"/>
          <w:divBdr>
            <w:top w:val="none" w:sz="0" w:space="0" w:color="auto"/>
            <w:left w:val="none" w:sz="0" w:space="0" w:color="auto"/>
            <w:bottom w:val="none" w:sz="0" w:space="0" w:color="auto"/>
            <w:right w:val="none" w:sz="0" w:space="0" w:color="auto"/>
          </w:divBdr>
          <w:divsChild>
            <w:div w:id="104081840">
              <w:marLeft w:val="0"/>
              <w:marRight w:val="0"/>
              <w:marTop w:val="0"/>
              <w:marBottom w:val="0"/>
              <w:divBdr>
                <w:top w:val="none" w:sz="0" w:space="0" w:color="auto"/>
                <w:left w:val="none" w:sz="0" w:space="0" w:color="auto"/>
                <w:bottom w:val="none" w:sz="0" w:space="0" w:color="auto"/>
                <w:right w:val="none" w:sz="0" w:space="0" w:color="auto"/>
              </w:divBdr>
              <w:divsChild>
                <w:div w:id="15131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8627">
      <w:bodyDiv w:val="1"/>
      <w:marLeft w:val="0"/>
      <w:marRight w:val="0"/>
      <w:marTop w:val="0"/>
      <w:marBottom w:val="0"/>
      <w:divBdr>
        <w:top w:val="none" w:sz="0" w:space="0" w:color="auto"/>
        <w:left w:val="none" w:sz="0" w:space="0" w:color="auto"/>
        <w:bottom w:val="none" w:sz="0" w:space="0" w:color="auto"/>
        <w:right w:val="none" w:sz="0" w:space="0" w:color="auto"/>
      </w:divBdr>
      <w:divsChild>
        <w:div w:id="841237726">
          <w:marLeft w:val="0"/>
          <w:marRight w:val="0"/>
          <w:marTop w:val="0"/>
          <w:marBottom w:val="0"/>
          <w:divBdr>
            <w:top w:val="none" w:sz="0" w:space="0" w:color="auto"/>
            <w:left w:val="none" w:sz="0" w:space="0" w:color="auto"/>
            <w:bottom w:val="none" w:sz="0" w:space="0" w:color="auto"/>
            <w:right w:val="none" w:sz="0" w:space="0" w:color="auto"/>
          </w:divBdr>
          <w:divsChild>
            <w:div w:id="962080552">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352221387">
      <w:bodyDiv w:val="1"/>
      <w:marLeft w:val="0"/>
      <w:marRight w:val="0"/>
      <w:marTop w:val="0"/>
      <w:marBottom w:val="0"/>
      <w:divBdr>
        <w:top w:val="none" w:sz="0" w:space="0" w:color="auto"/>
        <w:left w:val="none" w:sz="0" w:space="0" w:color="auto"/>
        <w:bottom w:val="none" w:sz="0" w:space="0" w:color="auto"/>
        <w:right w:val="none" w:sz="0" w:space="0" w:color="auto"/>
      </w:divBdr>
      <w:divsChild>
        <w:div w:id="282545146">
          <w:marLeft w:val="0"/>
          <w:marRight w:val="0"/>
          <w:marTop w:val="0"/>
          <w:marBottom w:val="0"/>
          <w:divBdr>
            <w:top w:val="none" w:sz="0" w:space="0" w:color="auto"/>
            <w:left w:val="none" w:sz="0" w:space="0" w:color="auto"/>
            <w:bottom w:val="none" w:sz="0" w:space="0" w:color="auto"/>
            <w:right w:val="none" w:sz="0" w:space="0" w:color="auto"/>
          </w:divBdr>
          <w:divsChild>
            <w:div w:id="1317220572">
              <w:marLeft w:val="0"/>
              <w:marRight w:val="0"/>
              <w:marTop w:val="0"/>
              <w:marBottom w:val="0"/>
              <w:divBdr>
                <w:top w:val="none" w:sz="0" w:space="0" w:color="auto"/>
                <w:left w:val="none" w:sz="0" w:space="0" w:color="auto"/>
                <w:bottom w:val="none" w:sz="0" w:space="0" w:color="auto"/>
                <w:right w:val="none" w:sz="0" w:space="0" w:color="auto"/>
              </w:divBdr>
              <w:divsChild>
                <w:div w:id="1998217178">
                  <w:marLeft w:val="0"/>
                  <w:marRight w:val="0"/>
                  <w:marTop w:val="0"/>
                  <w:marBottom w:val="0"/>
                  <w:divBdr>
                    <w:top w:val="none" w:sz="0" w:space="0" w:color="auto"/>
                    <w:left w:val="none" w:sz="0" w:space="0" w:color="auto"/>
                    <w:bottom w:val="none" w:sz="0" w:space="0" w:color="auto"/>
                    <w:right w:val="none" w:sz="0" w:space="0" w:color="auto"/>
                  </w:divBdr>
                  <w:divsChild>
                    <w:div w:id="6447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9202">
      <w:bodyDiv w:val="1"/>
      <w:marLeft w:val="0"/>
      <w:marRight w:val="0"/>
      <w:marTop w:val="0"/>
      <w:marBottom w:val="0"/>
      <w:divBdr>
        <w:top w:val="none" w:sz="0" w:space="0" w:color="auto"/>
        <w:left w:val="none" w:sz="0" w:space="0" w:color="auto"/>
        <w:bottom w:val="none" w:sz="0" w:space="0" w:color="auto"/>
        <w:right w:val="none" w:sz="0" w:space="0" w:color="auto"/>
      </w:divBdr>
      <w:divsChild>
        <w:div w:id="80106537">
          <w:marLeft w:val="0"/>
          <w:marRight w:val="0"/>
          <w:marTop w:val="0"/>
          <w:marBottom w:val="0"/>
          <w:divBdr>
            <w:top w:val="none" w:sz="0" w:space="0" w:color="auto"/>
            <w:left w:val="none" w:sz="0" w:space="0" w:color="auto"/>
            <w:bottom w:val="none" w:sz="0" w:space="0" w:color="auto"/>
            <w:right w:val="none" w:sz="0" w:space="0" w:color="auto"/>
          </w:divBdr>
          <w:divsChild>
            <w:div w:id="1277908071">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633053554">
      <w:bodyDiv w:val="1"/>
      <w:marLeft w:val="0"/>
      <w:marRight w:val="0"/>
      <w:marTop w:val="0"/>
      <w:marBottom w:val="0"/>
      <w:divBdr>
        <w:top w:val="none" w:sz="0" w:space="0" w:color="auto"/>
        <w:left w:val="none" w:sz="0" w:space="0" w:color="auto"/>
        <w:bottom w:val="none" w:sz="0" w:space="0" w:color="auto"/>
        <w:right w:val="none" w:sz="0" w:space="0" w:color="auto"/>
      </w:divBdr>
      <w:divsChild>
        <w:div w:id="1547571971">
          <w:marLeft w:val="0"/>
          <w:marRight w:val="0"/>
          <w:marTop w:val="0"/>
          <w:marBottom w:val="0"/>
          <w:divBdr>
            <w:top w:val="none" w:sz="0" w:space="0" w:color="auto"/>
            <w:left w:val="none" w:sz="0" w:space="0" w:color="auto"/>
            <w:bottom w:val="none" w:sz="0" w:space="0" w:color="auto"/>
            <w:right w:val="none" w:sz="0" w:space="0" w:color="auto"/>
          </w:divBdr>
          <w:divsChild>
            <w:div w:id="1910114384">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795517139">
      <w:bodyDiv w:val="1"/>
      <w:marLeft w:val="0"/>
      <w:marRight w:val="0"/>
      <w:marTop w:val="0"/>
      <w:marBottom w:val="0"/>
      <w:divBdr>
        <w:top w:val="none" w:sz="0" w:space="0" w:color="auto"/>
        <w:left w:val="none" w:sz="0" w:space="0" w:color="auto"/>
        <w:bottom w:val="none" w:sz="0" w:space="0" w:color="auto"/>
        <w:right w:val="none" w:sz="0" w:space="0" w:color="auto"/>
      </w:divBdr>
      <w:divsChild>
        <w:div w:id="702023329">
          <w:marLeft w:val="0"/>
          <w:marRight w:val="0"/>
          <w:marTop w:val="0"/>
          <w:marBottom w:val="0"/>
          <w:divBdr>
            <w:top w:val="none" w:sz="0" w:space="0" w:color="auto"/>
            <w:left w:val="none" w:sz="0" w:space="0" w:color="auto"/>
            <w:bottom w:val="none" w:sz="0" w:space="0" w:color="auto"/>
            <w:right w:val="none" w:sz="0" w:space="0" w:color="auto"/>
          </w:divBdr>
          <w:divsChild>
            <w:div w:id="479616978">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825855437">
      <w:bodyDiv w:val="1"/>
      <w:marLeft w:val="0"/>
      <w:marRight w:val="0"/>
      <w:marTop w:val="0"/>
      <w:marBottom w:val="0"/>
      <w:divBdr>
        <w:top w:val="none" w:sz="0" w:space="0" w:color="auto"/>
        <w:left w:val="none" w:sz="0" w:space="0" w:color="auto"/>
        <w:bottom w:val="none" w:sz="0" w:space="0" w:color="auto"/>
        <w:right w:val="none" w:sz="0" w:space="0" w:color="auto"/>
      </w:divBdr>
      <w:divsChild>
        <w:div w:id="395737526">
          <w:marLeft w:val="0"/>
          <w:marRight w:val="0"/>
          <w:marTop w:val="0"/>
          <w:marBottom w:val="0"/>
          <w:divBdr>
            <w:top w:val="none" w:sz="0" w:space="0" w:color="auto"/>
            <w:left w:val="none" w:sz="0" w:space="0" w:color="auto"/>
            <w:bottom w:val="none" w:sz="0" w:space="0" w:color="auto"/>
            <w:right w:val="none" w:sz="0" w:space="0" w:color="auto"/>
          </w:divBdr>
          <w:divsChild>
            <w:div w:id="1496408768">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861893934">
      <w:bodyDiv w:val="1"/>
      <w:marLeft w:val="0"/>
      <w:marRight w:val="0"/>
      <w:marTop w:val="0"/>
      <w:marBottom w:val="0"/>
      <w:divBdr>
        <w:top w:val="none" w:sz="0" w:space="0" w:color="auto"/>
        <w:left w:val="none" w:sz="0" w:space="0" w:color="auto"/>
        <w:bottom w:val="none" w:sz="0" w:space="0" w:color="auto"/>
        <w:right w:val="none" w:sz="0" w:space="0" w:color="auto"/>
      </w:divBdr>
      <w:divsChild>
        <w:div w:id="721753626">
          <w:marLeft w:val="0"/>
          <w:marRight w:val="0"/>
          <w:marTop w:val="0"/>
          <w:marBottom w:val="0"/>
          <w:divBdr>
            <w:top w:val="none" w:sz="0" w:space="0" w:color="auto"/>
            <w:left w:val="none" w:sz="0" w:space="0" w:color="auto"/>
            <w:bottom w:val="none" w:sz="0" w:space="0" w:color="auto"/>
            <w:right w:val="none" w:sz="0" w:space="0" w:color="auto"/>
          </w:divBdr>
          <w:divsChild>
            <w:div w:id="1036277310">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2034577395">
      <w:bodyDiv w:val="1"/>
      <w:marLeft w:val="0"/>
      <w:marRight w:val="0"/>
      <w:marTop w:val="0"/>
      <w:marBottom w:val="0"/>
      <w:divBdr>
        <w:top w:val="none" w:sz="0" w:space="0" w:color="auto"/>
        <w:left w:val="none" w:sz="0" w:space="0" w:color="auto"/>
        <w:bottom w:val="none" w:sz="0" w:space="0" w:color="auto"/>
        <w:right w:val="none" w:sz="0" w:space="0" w:color="auto"/>
      </w:divBdr>
      <w:divsChild>
        <w:div w:id="1883595726">
          <w:marLeft w:val="0"/>
          <w:marRight w:val="0"/>
          <w:marTop w:val="0"/>
          <w:marBottom w:val="0"/>
          <w:divBdr>
            <w:top w:val="none" w:sz="0" w:space="0" w:color="auto"/>
            <w:left w:val="none" w:sz="0" w:space="0" w:color="auto"/>
            <w:bottom w:val="none" w:sz="0" w:space="0" w:color="auto"/>
            <w:right w:val="none" w:sz="0" w:space="0" w:color="auto"/>
          </w:divBdr>
          <w:divsChild>
            <w:div w:id="346441819">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ood.gov.au/pubs/ivig/development-and-maintenance-of-the-criteria.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lood.gov.au/pubs/ivig/development-and-maintenance-of-the-criteria.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tgrieve\AppData\Roaming\Microsoft\Templates\Condition%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18DC39B0B5714AA1272BAEF2DE62E2"/>
        <w:category>
          <w:name w:val="General"/>
          <w:gallery w:val="placeholder"/>
        </w:category>
        <w:types>
          <w:type w:val="bbPlcHdr"/>
        </w:types>
        <w:behaviors>
          <w:behavior w:val="content"/>
        </w:behaviors>
        <w:guid w:val="{8CFB87B5-81CE-5A48-93F8-E68766C3D29F}"/>
      </w:docPartPr>
      <w:docPartBody>
        <w:p w:rsidR="0084452C" w:rsidRDefault="0084452C" w:rsidP="0084452C">
          <w:pPr>
            <w:pStyle w:val="4318DC39B0B5714AA1272BAEF2DE62E2"/>
          </w:pPr>
          <w:r>
            <w:t>[Type text]</w:t>
          </w:r>
        </w:p>
      </w:docPartBody>
    </w:docPart>
    <w:docPart>
      <w:docPartPr>
        <w:name w:val="255F24039E3CD646BF4EC89E9F52221B"/>
        <w:category>
          <w:name w:val="General"/>
          <w:gallery w:val="placeholder"/>
        </w:category>
        <w:types>
          <w:type w:val="bbPlcHdr"/>
        </w:types>
        <w:behaviors>
          <w:behavior w:val="content"/>
        </w:behaviors>
        <w:guid w:val="{ACF4724C-60D2-9C41-9A7F-EE9B28A2D528}"/>
      </w:docPartPr>
      <w:docPartBody>
        <w:p w:rsidR="0084452C" w:rsidRDefault="0084452C" w:rsidP="0084452C">
          <w:pPr>
            <w:pStyle w:val="255F24039E3CD646BF4EC89E9F52221B"/>
          </w:pPr>
          <w:r>
            <w:t>[Type text]</w:t>
          </w:r>
        </w:p>
      </w:docPartBody>
    </w:docPart>
    <w:docPart>
      <w:docPartPr>
        <w:name w:val="B2E672F6A46DC34D85472E78455D4ECB"/>
        <w:category>
          <w:name w:val="General"/>
          <w:gallery w:val="placeholder"/>
        </w:category>
        <w:types>
          <w:type w:val="bbPlcHdr"/>
        </w:types>
        <w:behaviors>
          <w:behavior w:val="content"/>
        </w:behaviors>
        <w:guid w:val="{AEE9104C-F3A3-D444-B691-11FCA5A92FEF}"/>
      </w:docPartPr>
      <w:docPartBody>
        <w:p w:rsidR="0084452C" w:rsidRDefault="0084452C" w:rsidP="0084452C">
          <w:pPr>
            <w:pStyle w:val="B2E672F6A46DC34D85472E78455D4EC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Open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2C"/>
    <w:rsid w:val="000F7948"/>
    <w:rsid w:val="00171125"/>
    <w:rsid w:val="001D4FD8"/>
    <w:rsid w:val="00354C52"/>
    <w:rsid w:val="00642583"/>
    <w:rsid w:val="0084452C"/>
    <w:rsid w:val="00B20720"/>
    <w:rsid w:val="00DA74F2"/>
    <w:rsid w:val="00E24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969D6B4AFBD1458332EA9A08A41BF4" ma:contentTypeVersion="0" ma:contentTypeDescription="Create a new document." ma:contentTypeScope="" ma:versionID="ee55a4627d56a27ed3de3ac4d9b1835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DD848-B8BA-4AF8-BCCE-5984EB9113AE}">
  <ds:schemaRefs>
    <ds:schemaRef ds:uri="http://schemas.microsoft.com/sharepoint/v3/contenttype/forms"/>
  </ds:schemaRefs>
</ds:datastoreItem>
</file>

<file path=customXml/itemProps2.xml><?xml version="1.0" encoding="utf-8"?>
<ds:datastoreItem xmlns:ds="http://schemas.openxmlformats.org/officeDocument/2006/customXml" ds:itemID="{EAADA4C5-577E-454C-A36E-4CD955373D2E}">
  <ds:schemaRef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FFE93E7-81D6-49F1-BEA8-4A7E595AD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F30CEC1-D012-4414-B42E-064259168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Condition Proforma.dotx</Template>
  <TotalTime>1</TotalTime>
  <Pages>10</Pages>
  <Words>2275</Words>
  <Characters>12971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15216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Grieve, Ean</dc:creator>
  <cp:lastModifiedBy>Melody Black</cp:lastModifiedBy>
  <cp:revision>3</cp:revision>
  <cp:lastPrinted>2014-11-11T01:42:00Z</cp:lastPrinted>
  <dcterms:created xsi:type="dcterms:W3CDTF">2015-06-12T05:54:00Z</dcterms:created>
  <dcterms:modified xsi:type="dcterms:W3CDTF">2015-06-13T13:53:00Z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0x01010085969D6B4AFBD1458332EA9A08A41BF4</vt:lpwstr>
  </property>
</Properties>
</file>