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13" w:rsidRDefault="00256111" w:rsidP="00746F13">
      <w:pPr>
        <w:spacing w:after="120" w:line="182" w:lineRule="auto"/>
        <w:ind w:left="142" w:right="119" w:hanging="567"/>
        <w:rPr>
          <w:rFonts w:ascii="TitilliumText25L" w:eastAsia="TitilliumText25L" w:hAnsi="TitilliumText25L" w:cs="TitilliumText25L"/>
          <w:color w:val="D0202E"/>
          <w:sz w:val="60"/>
          <w:szCs w:val="60"/>
        </w:rPr>
      </w:pPr>
      <w:bookmarkStart w:id="0" w:name="_GoBack"/>
      <w:bookmarkEnd w:id="0"/>
      <w:r>
        <w:rPr>
          <w:rFonts w:ascii="TitilliumText25L" w:eastAsia="TitilliumText25L" w:hAnsi="TitilliumText25L" w:cs="TitilliumText25L"/>
          <w:color w:val="808080"/>
          <w:position w:val="-16"/>
          <w:sz w:val="102"/>
          <w:szCs w:val="102"/>
        </w:rPr>
        <w:t>&gt;</w:t>
      </w:r>
      <w:r>
        <w:rPr>
          <w:rFonts w:ascii="TitilliumText25L" w:eastAsia="TitilliumText25L" w:hAnsi="TitilliumText25L" w:cs="TitilliumText25L"/>
          <w:color w:val="D0202E"/>
          <w:sz w:val="60"/>
          <w:szCs w:val="60"/>
        </w:rPr>
        <w:t>PREOPERATIVE BLEEDING RISK</w:t>
      </w:r>
      <w:r>
        <w:rPr>
          <w:rFonts w:ascii="TitilliumText25L" w:eastAsia="TitilliumText25L" w:hAnsi="TitilliumText25L" w:cs="TitilliumText25L"/>
          <w:color w:val="D0202E"/>
          <w:spacing w:val="57"/>
          <w:sz w:val="60"/>
          <w:szCs w:val="60"/>
        </w:rPr>
        <w:t xml:space="preserve"> </w:t>
      </w:r>
      <w:r>
        <w:rPr>
          <w:rFonts w:ascii="TitilliumText25L" w:eastAsia="TitilliumText25L" w:hAnsi="TitilliumText25L" w:cs="TitilliumText25L"/>
          <w:color w:val="D0202E"/>
          <w:sz w:val="60"/>
          <w:szCs w:val="60"/>
        </w:rPr>
        <w:t>ASSESSMENT AND INTERVENTION</w:t>
      </w:r>
    </w:p>
    <w:p w:rsidR="00256111" w:rsidRDefault="00746F13" w:rsidP="00746F13">
      <w:pPr>
        <w:spacing w:after="120" w:line="182" w:lineRule="auto"/>
        <w:ind w:left="142" w:right="119" w:hanging="567"/>
        <w:rPr>
          <w:rFonts w:ascii="TitilliumText25L" w:eastAsia="TitilliumText25L" w:hAnsi="TitilliumText25L" w:cs="TitilliumText25L"/>
          <w:sz w:val="50"/>
          <w:szCs w:val="50"/>
        </w:rPr>
      </w:pPr>
      <w:r>
        <w:rPr>
          <w:rFonts w:ascii="TitilliumText25L" w:eastAsia="TitilliumText25L" w:hAnsi="TitilliumText25L" w:cs="TitilliumText25L"/>
          <w:color w:val="D0202E"/>
          <w:sz w:val="60"/>
          <w:szCs w:val="60"/>
        </w:rPr>
        <w:t xml:space="preserve">  </w:t>
      </w:r>
      <w:r w:rsidR="00256111">
        <w:rPr>
          <w:rFonts w:ascii="TitilliumText25L" w:eastAsia="TitilliumText25L" w:hAnsi="TitilliumText25L" w:cs="TitilliumText25L"/>
          <w:color w:val="D0202E"/>
          <w:spacing w:val="67"/>
          <w:sz w:val="60"/>
          <w:szCs w:val="60"/>
        </w:rPr>
        <w:t xml:space="preserve"> </w:t>
      </w:r>
      <w:r w:rsidR="00256111">
        <w:rPr>
          <w:rFonts w:ascii="TitilliumText25L" w:eastAsia="TitilliumText25L" w:hAnsi="TitilliumText25L" w:cs="TitilliumText25L"/>
          <w:color w:val="D0202E"/>
          <w:sz w:val="60"/>
          <w:szCs w:val="60"/>
        </w:rPr>
        <w:t xml:space="preserve">RESOURCE: </w:t>
      </w:r>
      <w:r w:rsidR="00256111">
        <w:rPr>
          <w:rFonts w:ascii="TitilliumText25L" w:eastAsia="TitilliumText25L" w:hAnsi="TitilliumText25L" w:cs="TitilliumText25L"/>
          <w:color w:val="D0202E"/>
          <w:position w:val="-1"/>
          <w:sz w:val="50"/>
          <w:szCs w:val="50"/>
        </w:rPr>
        <w:t>QUICK</w:t>
      </w:r>
      <w:r w:rsidR="00256111">
        <w:rPr>
          <w:rFonts w:ascii="TitilliumText25L" w:eastAsia="TitilliumText25L" w:hAnsi="TitilliumText25L" w:cs="TitilliumText25L"/>
          <w:color w:val="D0202E"/>
          <w:spacing w:val="104"/>
          <w:position w:val="-1"/>
          <w:sz w:val="50"/>
          <w:szCs w:val="50"/>
        </w:rPr>
        <w:t xml:space="preserve"> </w:t>
      </w:r>
      <w:r w:rsidR="00256111">
        <w:rPr>
          <w:rFonts w:ascii="TitilliumText25L" w:eastAsia="TitilliumText25L" w:hAnsi="TitilliumText25L" w:cs="TitilliumText25L"/>
          <w:color w:val="D0202E"/>
          <w:position w:val="-1"/>
          <w:sz w:val="50"/>
          <w:szCs w:val="50"/>
        </w:rPr>
        <w:t>REFERENCE GUIDE</w:t>
      </w:r>
    </w:p>
    <w:p w:rsidR="00256111" w:rsidRDefault="00256111" w:rsidP="00256111">
      <w:pPr>
        <w:spacing w:before="7" w:after="0" w:line="110" w:lineRule="exact"/>
        <w:rPr>
          <w:sz w:val="11"/>
          <w:szCs w:val="11"/>
        </w:rPr>
      </w:pPr>
    </w:p>
    <w:p w:rsidR="00B3726E" w:rsidRDefault="00BA11AC" w:rsidP="00BA11AC">
      <w:r>
        <w:rPr>
          <w:noProof/>
          <w:lang w:val="en-AU" w:eastAsia="en-AU"/>
        </w:rPr>
        <w:drawing>
          <wp:inline distT="0" distB="0" distL="0" distR="0">
            <wp:extent cx="5926455" cy="6451600"/>
            <wp:effectExtent l="0" t="0" r="0" b="635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iagram.PNG"/>
                    <pic:cNvPicPr/>
                  </pic:nvPicPr>
                  <pic:blipFill>
                    <a:blip r:embed="rId9">
                      <a:extLst>
                        <a:ext uri="{28A0092B-C50C-407E-A947-70E740481C1C}">
                          <a14:useLocalDpi xmlns:a14="http://schemas.microsoft.com/office/drawing/2010/main" val="0"/>
                        </a:ext>
                      </a:extLst>
                    </a:blip>
                    <a:stretch>
                      <a:fillRect/>
                    </a:stretch>
                  </pic:blipFill>
                  <pic:spPr>
                    <a:xfrm>
                      <a:off x="0" y="0"/>
                      <a:ext cx="5926455" cy="6451600"/>
                    </a:xfrm>
                    <a:prstGeom prst="rect">
                      <a:avLst/>
                    </a:prstGeom>
                  </pic:spPr>
                </pic:pic>
              </a:graphicData>
            </a:graphic>
          </wp:inline>
        </w:drawing>
      </w:r>
    </w:p>
    <w:p w:rsidR="00DB484E" w:rsidRDefault="00DB484E">
      <w:pPr>
        <w:widowControl/>
        <w:rPr>
          <w:rFonts w:ascii="TitilliumText25L" w:eastAsia="TitilliumText25L" w:hAnsi="TitilliumText25L" w:cs="TitilliumText25L"/>
          <w:color w:val="231F20"/>
        </w:rPr>
      </w:pPr>
      <w:r>
        <w:rPr>
          <w:rFonts w:ascii="TitilliumText25L" w:eastAsia="TitilliumText25L" w:hAnsi="TitilliumText25L" w:cs="TitilliumText25L"/>
          <w:color w:val="231F20"/>
        </w:rPr>
        <w:br w:type="page"/>
      </w:r>
    </w:p>
    <w:p w:rsidR="00DB484E" w:rsidRDefault="00DB484E" w:rsidP="00DB484E">
      <w:pPr>
        <w:spacing w:after="120" w:line="182" w:lineRule="auto"/>
        <w:ind w:left="142" w:right="119" w:hanging="567"/>
        <w:rPr>
          <w:rFonts w:ascii="TitilliumText25L" w:eastAsia="TitilliumText25L" w:hAnsi="TitilliumText25L" w:cs="TitilliumText25L"/>
          <w:color w:val="D0202E"/>
          <w:sz w:val="60"/>
          <w:szCs w:val="60"/>
        </w:rPr>
      </w:pPr>
      <w:r>
        <w:rPr>
          <w:rFonts w:ascii="TitilliumText25L" w:eastAsia="TitilliumText25L" w:hAnsi="TitilliumText25L" w:cs="TitilliumText25L"/>
          <w:color w:val="808080"/>
          <w:position w:val="-16"/>
          <w:sz w:val="102"/>
          <w:szCs w:val="102"/>
        </w:rPr>
        <w:lastRenderedPageBreak/>
        <w:t>&gt;</w:t>
      </w:r>
      <w:r>
        <w:rPr>
          <w:rFonts w:ascii="TitilliumText25L" w:eastAsia="TitilliumText25L" w:hAnsi="TitilliumText25L" w:cs="TitilliumText25L"/>
          <w:color w:val="D0202E"/>
          <w:sz w:val="60"/>
          <w:szCs w:val="60"/>
        </w:rPr>
        <w:t>PREOPERATIVE BLEEDING RISK</w:t>
      </w:r>
      <w:r>
        <w:rPr>
          <w:rFonts w:ascii="TitilliumText25L" w:eastAsia="TitilliumText25L" w:hAnsi="TitilliumText25L" w:cs="TitilliumText25L"/>
          <w:color w:val="D0202E"/>
          <w:spacing w:val="57"/>
          <w:sz w:val="60"/>
          <w:szCs w:val="60"/>
        </w:rPr>
        <w:t xml:space="preserve"> </w:t>
      </w:r>
      <w:r>
        <w:rPr>
          <w:rFonts w:ascii="TitilliumText25L" w:eastAsia="TitilliumText25L" w:hAnsi="TitilliumText25L" w:cs="TitilliumText25L"/>
          <w:color w:val="D0202E"/>
          <w:sz w:val="60"/>
          <w:szCs w:val="60"/>
        </w:rPr>
        <w:t>ASSESSMENT AND INTERVENTION</w:t>
      </w:r>
    </w:p>
    <w:p w:rsidR="00DB484E" w:rsidRDefault="00DB484E" w:rsidP="00DB484E">
      <w:pPr>
        <w:spacing w:after="120" w:line="182" w:lineRule="auto"/>
        <w:ind w:left="142" w:right="119" w:hanging="567"/>
        <w:rPr>
          <w:rFonts w:ascii="TitilliumText25L" w:eastAsia="TitilliumText25L" w:hAnsi="TitilliumText25L" w:cs="TitilliumText25L"/>
          <w:color w:val="D0202E"/>
          <w:position w:val="-1"/>
          <w:sz w:val="50"/>
          <w:szCs w:val="50"/>
        </w:rPr>
      </w:pPr>
      <w:r>
        <w:rPr>
          <w:rFonts w:ascii="TitilliumText25L" w:eastAsia="TitilliumText25L" w:hAnsi="TitilliumText25L" w:cs="TitilliumText25L"/>
          <w:color w:val="D0202E"/>
          <w:sz w:val="60"/>
          <w:szCs w:val="60"/>
        </w:rPr>
        <w:t xml:space="preserve">  </w:t>
      </w:r>
      <w:r>
        <w:rPr>
          <w:rFonts w:ascii="TitilliumText25L" w:eastAsia="TitilliumText25L" w:hAnsi="TitilliumText25L" w:cs="TitilliumText25L"/>
          <w:color w:val="D0202E"/>
          <w:spacing w:val="67"/>
          <w:sz w:val="60"/>
          <w:szCs w:val="60"/>
        </w:rPr>
        <w:t xml:space="preserve"> </w:t>
      </w:r>
      <w:r>
        <w:rPr>
          <w:rFonts w:ascii="TitilliumText25L" w:eastAsia="TitilliumText25L" w:hAnsi="TitilliumText25L" w:cs="TitilliumText25L"/>
          <w:color w:val="D0202E"/>
          <w:sz w:val="60"/>
          <w:szCs w:val="60"/>
        </w:rPr>
        <w:t xml:space="preserve">RESOURCE: </w:t>
      </w:r>
      <w:r w:rsidR="002E5B9B">
        <w:rPr>
          <w:rFonts w:ascii="TitilliumText25L" w:eastAsia="TitilliumText25L" w:hAnsi="TitilliumText25L" w:cs="TitilliumText25L"/>
          <w:color w:val="D0202E"/>
          <w:sz w:val="60"/>
          <w:szCs w:val="60"/>
        </w:rPr>
        <w:br/>
      </w:r>
      <w:r>
        <w:rPr>
          <w:rFonts w:ascii="TitilliumText25L" w:eastAsia="TitilliumText25L" w:hAnsi="TitilliumText25L" w:cs="TitilliumText25L"/>
          <w:color w:val="D0202E"/>
          <w:position w:val="-1"/>
          <w:sz w:val="50"/>
          <w:szCs w:val="50"/>
        </w:rPr>
        <w:t>QUICK</w:t>
      </w:r>
      <w:r>
        <w:rPr>
          <w:rFonts w:ascii="TitilliumText25L" w:eastAsia="TitilliumText25L" w:hAnsi="TitilliumText25L" w:cs="TitilliumText25L"/>
          <w:color w:val="D0202E"/>
          <w:spacing w:val="104"/>
          <w:position w:val="-1"/>
          <w:sz w:val="50"/>
          <w:szCs w:val="50"/>
        </w:rPr>
        <w:t xml:space="preserve"> </w:t>
      </w:r>
      <w:r>
        <w:rPr>
          <w:rFonts w:ascii="TitilliumText25L" w:eastAsia="TitilliumText25L" w:hAnsi="TitilliumText25L" w:cs="TitilliumText25L"/>
          <w:color w:val="D0202E"/>
          <w:position w:val="-1"/>
          <w:sz w:val="50"/>
          <w:szCs w:val="50"/>
        </w:rPr>
        <w:t>REFERENCE GUIDE</w:t>
      </w:r>
      <w:r w:rsidR="002E5B9B">
        <w:rPr>
          <w:rFonts w:ascii="TitilliumText25L" w:eastAsia="TitilliumText25L" w:hAnsi="TitilliumText25L" w:cs="TitilliumText25L"/>
          <w:color w:val="D0202E"/>
          <w:position w:val="-1"/>
          <w:sz w:val="50"/>
          <w:szCs w:val="50"/>
        </w:rPr>
        <w:t xml:space="preserve"> SUMMARY</w:t>
      </w:r>
    </w:p>
    <w:p w:rsidR="002E5B9B" w:rsidRDefault="002E5B9B" w:rsidP="00DB484E">
      <w:pPr>
        <w:spacing w:after="120" w:line="182" w:lineRule="auto"/>
        <w:ind w:left="142" w:right="119" w:hanging="567"/>
        <w:rPr>
          <w:rFonts w:ascii="TitilliumText25L" w:eastAsia="TitilliumText25L" w:hAnsi="TitilliumText25L" w:cs="TitilliumText25L"/>
          <w:sz w:val="50"/>
          <w:szCs w:val="50"/>
        </w:rPr>
      </w:pPr>
    </w:p>
    <w:p w:rsidR="00DB484E" w:rsidRDefault="00DB484E" w:rsidP="00DB484E">
      <w:pPr>
        <w:spacing w:after="0" w:line="241" w:lineRule="auto"/>
        <w:ind w:left="426" w:right="719"/>
        <w:rPr>
          <w:rFonts w:ascii="TitilliumText25L" w:eastAsia="TitilliumText25L" w:hAnsi="TitilliumText25L" w:cs="TitilliumText25L"/>
          <w:color w:val="231F20"/>
        </w:rPr>
      </w:pPr>
    </w:p>
    <w:p w:rsidR="00DB484E" w:rsidRDefault="00DB484E" w:rsidP="002E5B9B">
      <w:pPr>
        <w:spacing w:after="0" w:line="14" w:lineRule="atLeast"/>
        <w:ind w:left="426" w:right="719"/>
        <w:rPr>
          <w:rFonts w:ascii="TitilliumText25L" w:eastAsia="TitilliumText25L" w:hAnsi="TitilliumText25L" w:cs="TitilliumText25L"/>
        </w:rPr>
      </w:pPr>
      <w:r>
        <w:rPr>
          <w:rFonts w:ascii="TitilliumText25L" w:eastAsia="TitilliumText25L" w:hAnsi="TitilliumText25L" w:cs="TitilliumText25L"/>
          <w:color w:val="231F20"/>
        </w:rPr>
        <w:t>Assessing and managing the risk of bleeding in a preoperative patient can be achieved by following the key steps:</w:t>
      </w:r>
    </w:p>
    <w:p w:rsidR="00DB484E" w:rsidRDefault="00DB484E" w:rsidP="002E5B9B">
      <w:pPr>
        <w:spacing w:before="3" w:after="0" w:line="14" w:lineRule="atLeast"/>
        <w:ind w:left="426"/>
        <w:rPr>
          <w:sz w:val="11"/>
          <w:szCs w:val="11"/>
        </w:rPr>
      </w:pPr>
    </w:p>
    <w:p w:rsidR="00DB484E" w:rsidRDefault="00DB484E" w:rsidP="002E5B9B">
      <w:pPr>
        <w:spacing w:after="0" w:line="14" w:lineRule="atLeast"/>
        <w:ind w:left="1134" w:right="-23" w:hanging="708"/>
        <w:jc w:val="both"/>
        <w:rPr>
          <w:rFonts w:ascii="TitilliumText25L" w:eastAsia="TitilliumText25L" w:hAnsi="TitilliumText25L" w:cs="TitilliumText25L"/>
        </w:rPr>
      </w:pPr>
      <w:r>
        <w:rPr>
          <w:rFonts w:ascii="TitilliumText25L" w:eastAsia="TitilliumText25L" w:hAnsi="TitilliumText25L" w:cs="TitilliumText25L"/>
          <w:color w:val="231F20"/>
        </w:rPr>
        <w:t xml:space="preserve">1.    </w:t>
      </w:r>
      <w:r w:rsidR="00B91746">
        <w:rPr>
          <w:rFonts w:ascii="TitilliumText25L" w:eastAsia="TitilliumText25L" w:hAnsi="TitilliumText25L" w:cs="TitilliumText25L"/>
          <w:color w:val="231F20"/>
        </w:rPr>
        <w:tab/>
      </w:r>
      <w:r w:rsidR="00C26CCE">
        <w:rPr>
          <w:rFonts w:ascii="TitilliumText25L" w:eastAsia="TitilliumText25L" w:hAnsi="TitilliumText25L" w:cs="TitilliumText25L"/>
          <w:color w:val="231F20"/>
        </w:rPr>
        <w:t>R</w:t>
      </w:r>
      <w:r>
        <w:rPr>
          <w:rFonts w:ascii="TitilliumText25L" w:eastAsia="TitilliumText25L" w:hAnsi="TitilliumText25L" w:cs="TitilliumText25L"/>
          <w:color w:val="231F20"/>
        </w:rPr>
        <w:t>eview medications, including complementary therapies:</w:t>
      </w:r>
    </w:p>
    <w:p w:rsidR="00DB484E" w:rsidRDefault="00DB484E" w:rsidP="002E5B9B">
      <w:pPr>
        <w:spacing w:before="5" w:after="0" w:line="14" w:lineRule="atLeast"/>
        <w:ind w:left="426"/>
        <w:rPr>
          <w:sz w:val="11"/>
          <w:szCs w:val="11"/>
        </w:rPr>
      </w:pPr>
    </w:p>
    <w:p w:rsidR="00DB484E" w:rsidRPr="00C26CCE" w:rsidRDefault="00DB484E" w:rsidP="002E5B9B">
      <w:pPr>
        <w:pStyle w:val="ListParagraph"/>
        <w:numPr>
          <w:ilvl w:val="0"/>
          <w:numId w:val="9"/>
        </w:numPr>
        <w:spacing w:after="0" w:line="14" w:lineRule="atLeast"/>
        <w:ind w:left="1560" w:right="-20" w:hanging="414"/>
        <w:rPr>
          <w:rFonts w:ascii="TitilliumText25L" w:eastAsia="TitilliumText25L" w:hAnsi="TitilliumText25L" w:cs="TitilliumText25L"/>
        </w:rPr>
      </w:pPr>
      <w:r w:rsidRPr="00C26CCE">
        <w:rPr>
          <w:rFonts w:ascii="TitilliumText25L" w:eastAsia="TitilliumText25L" w:hAnsi="TitilliumText25L" w:cs="TitilliumText25L"/>
          <w:color w:val="231F20"/>
        </w:rPr>
        <w:t xml:space="preserve">Manage as per evidence based guidelines, including specialist guidelines, local </w:t>
      </w:r>
    </w:p>
    <w:p w:rsidR="00DB484E" w:rsidRDefault="00DB484E" w:rsidP="002E5B9B">
      <w:pPr>
        <w:spacing w:before="1" w:after="0" w:line="14" w:lineRule="atLeast"/>
        <w:ind w:left="1701" w:right="-20" w:hanging="141"/>
        <w:rPr>
          <w:rFonts w:ascii="TitilliumText25L" w:eastAsia="TitilliumText25L" w:hAnsi="TitilliumText25L" w:cs="TitilliumText25L"/>
        </w:rPr>
      </w:pPr>
      <w:proofErr w:type="gramStart"/>
      <w:r>
        <w:rPr>
          <w:rFonts w:ascii="TitilliumText25L" w:eastAsia="TitilliumText25L" w:hAnsi="TitilliumText25L" w:cs="TitilliumText25L"/>
          <w:color w:val="231F20"/>
        </w:rPr>
        <w:t>protocols</w:t>
      </w:r>
      <w:proofErr w:type="gramEnd"/>
      <w:r>
        <w:rPr>
          <w:rFonts w:ascii="TitilliumText25L" w:eastAsia="TitilliumText25L" w:hAnsi="TitilliumText25L" w:cs="TitilliumText25L"/>
          <w:color w:val="231F20"/>
        </w:rPr>
        <w:t xml:space="preserve"> or referral where appropriate;</w:t>
      </w:r>
    </w:p>
    <w:p w:rsidR="00DB484E" w:rsidRDefault="00DB484E" w:rsidP="002E5B9B">
      <w:pPr>
        <w:spacing w:before="5" w:after="0" w:line="14" w:lineRule="atLeast"/>
        <w:ind w:left="426"/>
        <w:rPr>
          <w:sz w:val="11"/>
          <w:szCs w:val="11"/>
        </w:rPr>
      </w:pPr>
    </w:p>
    <w:p w:rsidR="00DB484E" w:rsidRPr="00B91746" w:rsidRDefault="00DB484E" w:rsidP="002E5B9B">
      <w:pPr>
        <w:spacing w:after="0" w:line="14" w:lineRule="atLeast"/>
        <w:ind w:left="1134" w:right="-23" w:hanging="708"/>
        <w:jc w:val="both"/>
        <w:rPr>
          <w:rFonts w:ascii="TitilliumText25L" w:eastAsia="TitilliumText25L" w:hAnsi="TitilliumText25L" w:cs="TitilliumText25L"/>
          <w:color w:val="231F20"/>
        </w:rPr>
      </w:pPr>
      <w:r>
        <w:rPr>
          <w:rFonts w:ascii="TitilliumText25L" w:eastAsia="TitilliumText25L" w:hAnsi="TitilliumText25L" w:cs="TitilliumText25L"/>
          <w:color w:val="231F20"/>
        </w:rPr>
        <w:t>2.</w:t>
      </w:r>
      <w:r w:rsidR="00C26CCE">
        <w:rPr>
          <w:rFonts w:ascii="TitilliumText25L" w:eastAsia="TitilliumText25L" w:hAnsi="TitilliumText25L" w:cs="TitilliumText25L"/>
          <w:color w:val="231F20"/>
        </w:rPr>
        <w:t xml:space="preserve"> </w:t>
      </w:r>
      <w:r w:rsidR="00B91746">
        <w:rPr>
          <w:rFonts w:ascii="TitilliumText25L" w:eastAsia="TitilliumText25L" w:hAnsi="TitilliumText25L" w:cs="TitilliumText25L"/>
          <w:color w:val="231F20"/>
        </w:rPr>
        <w:tab/>
      </w:r>
      <w:r>
        <w:rPr>
          <w:rFonts w:ascii="TitilliumText25L" w:eastAsia="TitilliumText25L" w:hAnsi="TitilliumText25L" w:cs="TitilliumText25L"/>
          <w:color w:val="231F20"/>
        </w:rPr>
        <w:t>Perform initial bleeding history including personal and family history of bleeding disorder or excessive bleeding; and comorbidities which may increase bleeding risk:</w:t>
      </w:r>
    </w:p>
    <w:p w:rsidR="00DB484E" w:rsidRDefault="00DB484E" w:rsidP="002E5B9B">
      <w:pPr>
        <w:spacing w:before="3" w:after="0" w:line="14" w:lineRule="atLeast"/>
        <w:ind w:left="426"/>
        <w:rPr>
          <w:sz w:val="11"/>
          <w:szCs w:val="11"/>
        </w:rPr>
      </w:pPr>
    </w:p>
    <w:p w:rsidR="00DB484E" w:rsidRPr="00B91746" w:rsidRDefault="00C26CCE" w:rsidP="002E5B9B">
      <w:pPr>
        <w:pStyle w:val="ListParagraph"/>
        <w:numPr>
          <w:ilvl w:val="0"/>
          <w:numId w:val="9"/>
        </w:numPr>
        <w:spacing w:after="0" w:line="14" w:lineRule="atLeast"/>
        <w:ind w:left="1560" w:right="-20" w:hanging="414"/>
        <w:rPr>
          <w:rFonts w:ascii="TitilliumText25L" w:eastAsia="TitilliumText25L" w:hAnsi="TitilliumText25L" w:cs="TitilliumText25L"/>
          <w:color w:val="231F20"/>
        </w:rPr>
      </w:pPr>
      <w:r>
        <w:rPr>
          <w:rFonts w:ascii="TitilliumText25L" w:eastAsia="TitilliumText25L" w:hAnsi="TitilliumText25L" w:cs="TitilliumText25L"/>
          <w:color w:val="231F20"/>
        </w:rPr>
        <w:t>I</w:t>
      </w:r>
      <w:r w:rsidR="00DB484E">
        <w:rPr>
          <w:rFonts w:ascii="TitilliumText25L" w:eastAsia="TitilliumText25L" w:hAnsi="TitilliumText25L" w:cs="TitilliumText25L"/>
          <w:color w:val="231F20"/>
        </w:rPr>
        <w:t xml:space="preserve">f positive use a Bleeding Assessment Tool (BAT) consisting of a standardised </w:t>
      </w:r>
    </w:p>
    <w:p w:rsidR="00DB484E" w:rsidRPr="00B91746" w:rsidRDefault="00DB484E" w:rsidP="002E5B9B">
      <w:pPr>
        <w:pStyle w:val="ListParagraph"/>
        <w:spacing w:after="0" w:line="14" w:lineRule="atLeast"/>
        <w:ind w:left="1254" w:right="-20" w:firstLine="306"/>
        <w:rPr>
          <w:rFonts w:ascii="TitilliumText25L" w:eastAsia="TitilliumText25L" w:hAnsi="TitilliumText25L" w:cs="TitilliumText25L"/>
          <w:color w:val="231F20"/>
        </w:rPr>
      </w:pPr>
      <w:proofErr w:type="gramStart"/>
      <w:r>
        <w:rPr>
          <w:rFonts w:ascii="TitilliumText25L" w:eastAsia="TitilliumText25L" w:hAnsi="TitilliumText25L" w:cs="TitilliumText25L"/>
          <w:color w:val="231F20"/>
        </w:rPr>
        <w:t>bleeding</w:t>
      </w:r>
      <w:proofErr w:type="gramEnd"/>
      <w:r>
        <w:rPr>
          <w:rFonts w:ascii="TitilliumText25L" w:eastAsia="TitilliumText25L" w:hAnsi="TitilliumText25L" w:cs="TitilliumText25L"/>
          <w:color w:val="231F20"/>
        </w:rPr>
        <w:t xml:space="preserve"> questionnaire and bleeding score and/or refer for further assessment;</w:t>
      </w:r>
    </w:p>
    <w:p w:rsidR="00DB484E" w:rsidRDefault="00DB484E" w:rsidP="002E5B9B">
      <w:pPr>
        <w:spacing w:before="5" w:after="0" w:line="14" w:lineRule="atLeast"/>
        <w:ind w:left="426"/>
        <w:rPr>
          <w:sz w:val="11"/>
          <w:szCs w:val="11"/>
        </w:rPr>
      </w:pPr>
    </w:p>
    <w:p w:rsidR="00DB484E" w:rsidRPr="00B91746" w:rsidRDefault="00DB484E" w:rsidP="002E5B9B">
      <w:pPr>
        <w:spacing w:after="0" w:line="14" w:lineRule="atLeast"/>
        <w:ind w:left="1134" w:right="-23" w:hanging="708"/>
        <w:jc w:val="both"/>
        <w:rPr>
          <w:rFonts w:ascii="TitilliumText25L" w:eastAsia="TitilliumText25L" w:hAnsi="TitilliumText25L" w:cs="TitilliumText25L"/>
          <w:color w:val="231F20"/>
        </w:rPr>
      </w:pPr>
      <w:r>
        <w:rPr>
          <w:rFonts w:ascii="TitilliumText25L" w:eastAsia="TitilliumText25L" w:hAnsi="TitilliumText25L" w:cs="TitilliumText25L"/>
          <w:color w:val="231F20"/>
        </w:rPr>
        <w:t>3.</w:t>
      </w:r>
      <w:r w:rsidR="00C26CCE">
        <w:rPr>
          <w:rFonts w:ascii="TitilliumText25L" w:eastAsia="TitilliumText25L" w:hAnsi="TitilliumText25L" w:cs="TitilliumText25L"/>
          <w:color w:val="231F20"/>
        </w:rPr>
        <w:t xml:space="preserve"> </w:t>
      </w:r>
      <w:r w:rsidR="00B91746">
        <w:rPr>
          <w:rFonts w:ascii="TitilliumText25L" w:eastAsia="TitilliumText25L" w:hAnsi="TitilliumText25L" w:cs="TitilliumText25L"/>
          <w:color w:val="231F20"/>
        </w:rPr>
        <w:tab/>
      </w:r>
      <w:r>
        <w:rPr>
          <w:rFonts w:ascii="TitilliumText25L" w:eastAsia="TitilliumText25L" w:hAnsi="TitilliumText25L" w:cs="TitilliumText25L"/>
          <w:color w:val="231F20"/>
        </w:rPr>
        <w:t>Perform a physical examination:</w:t>
      </w:r>
    </w:p>
    <w:p w:rsidR="00DB484E" w:rsidRDefault="00DB484E" w:rsidP="002E5B9B">
      <w:pPr>
        <w:spacing w:before="5" w:after="0" w:line="14" w:lineRule="atLeast"/>
        <w:ind w:left="426"/>
        <w:rPr>
          <w:sz w:val="11"/>
          <w:szCs w:val="11"/>
        </w:rPr>
      </w:pPr>
    </w:p>
    <w:p w:rsidR="00DB484E" w:rsidRPr="00B91746" w:rsidRDefault="00DB484E" w:rsidP="002E5B9B">
      <w:pPr>
        <w:pStyle w:val="ListParagraph"/>
        <w:numPr>
          <w:ilvl w:val="0"/>
          <w:numId w:val="9"/>
        </w:numPr>
        <w:spacing w:after="0" w:line="14" w:lineRule="atLeast"/>
        <w:ind w:left="1560" w:right="-20" w:hanging="414"/>
        <w:rPr>
          <w:rFonts w:ascii="TitilliumText25L" w:eastAsia="TitilliumText25L" w:hAnsi="TitilliumText25L" w:cs="TitilliumText25L"/>
          <w:color w:val="231F20"/>
        </w:rPr>
      </w:pPr>
      <w:r>
        <w:rPr>
          <w:rFonts w:ascii="TitilliumText25L" w:eastAsia="TitilliumText25L" w:hAnsi="TitilliumText25L" w:cs="TitilliumText25L"/>
          <w:color w:val="231F20"/>
        </w:rPr>
        <w:t xml:space="preserve">If positive for signs of bleeding or comorbidities associated with increased risk of </w:t>
      </w:r>
    </w:p>
    <w:p w:rsidR="00DB484E" w:rsidRPr="00B91746" w:rsidRDefault="00DB484E" w:rsidP="002E5B9B">
      <w:pPr>
        <w:pStyle w:val="ListParagraph"/>
        <w:spacing w:after="0" w:line="14" w:lineRule="atLeast"/>
        <w:ind w:left="1560" w:right="-20"/>
        <w:rPr>
          <w:rFonts w:ascii="TitilliumText25L" w:eastAsia="TitilliumText25L" w:hAnsi="TitilliumText25L" w:cs="TitilliumText25L"/>
          <w:color w:val="231F20"/>
        </w:rPr>
      </w:pPr>
      <w:proofErr w:type="gramStart"/>
      <w:r>
        <w:rPr>
          <w:rFonts w:ascii="TitilliumText25L" w:eastAsia="TitilliumText25L" w:hAnsi="TitilliumText25L" w:cs="TitilliumText25L"/>
          <w:color w:val="231F20"/>
        </w:rPr>
        <w:t>bleeding</w:t>
      </w:r>
      <w:proofErr w:type="gramEnd"/>
      <w:r>
        <w:rPr>
          <w:rFonts w:ascii="TitilliumText25L" w:eastAsia="TitilliumText25L" w:hAnsi="TitilliumText25L" w:cs="TitilliumText25L"/>
          <w:color w:val="231F20"/>
        </w:rPr>
        <w:t xml:space="preserve"> use a BAT and/or refer for further assessment;</w:t>
      </w:r>
    </w:p>
    <w:p w:rsidR="00DB484E" w:rsidRDefault="00DB484E" w:rsidP="002E5B9B">
      <w:pPr>
        <w:spacing w:before="5" w:after="0" w:line="14" w:lineRule="atLeast"/>
        <w:ind w:left="426"/>
        <w:rPr>
          <w:sz w:val="11"/>
          <w:szCs w:val="11"/>
        </w:rPr>
      </w:pPr>
    </w:p>
    <w:p w:rsidR="00DB484E" w:rsidRPr="00B91746" w:rsidRDefault="00DB484E" w:rsidP="002E5B9B">
      <w:pPr>
        <w:spacing w:after="0" w:line="14" w:lineRule="atLeast"/>
        <w:ind w:left="1134" w:right="-23" w:hanging="708"/>
        <w:jc w:val="both"/>
        <w:rPr>
          <w:rFonts w:ascii="TitilliumText25L" w:eastAsia="TitilliumText25L" w:hAnsi="TitilliumText25L" w:cs="TitilliumText25L"/>
          <w:color w:val="231F20"/>
        </w:rPr>
      </w:pPr>
      <w:r>
        <w:rPr>
          <w:rFonts w:ascii="TitilliumText25L" w:eastAsia="TitilliumText25L" w:hAnsi="TitilliumText25L" w:cs="TitilliumText25L"/>
          <w:color w:val="231F20"/>
        </w:rPr>
        <w:t>4.</w:t>
      </w:r>
      <w:r>
        <w:rPr>
          <w:rFonts w:ascii="TitilliumText25L" w:eastAsia="TitilliumText25L" w:hAnsi="TitilliumText25L" w:cs="TitilliumText25L"/>
          <w:color w:val="231F20"/>
        </w:rPr>
        <w:tab/>
        <w:t>If all initial screens are negative, no further evaluation is required – routine preoperative coagulation screening is not recommended;</w:t>
      </w:r>
    </w:p>
    <w:p w:rsidR="00DB484E" w:rsidRDefault="00DB484E" w:rsidP="002E5B9B">
      <w:pPr>
        <w:spacing w:before="3" w:after="0" w:line="14" w:lineRule="atLeast"/>
        <w:ind w:left="426"/>
        <w:rPr>
          <w:sz w:val="11"/>
          <w:szCs w:val="11"/>
        </w:rPr>
      </w:pPr>
    </w:p>
    <w:p w:rsidR="00DB484E" w:rsidRPr="00B91746" w:rsidRDefault="00B91746" w:rsidP="002E5B9B">
      <w:pPr>
        <w:spacing w:after="0" w:line="14" w:lineRule="atLeast"/>
        <w:ind w:left="1134" w:right="-23" w:hanging="708"/>
        <w:jc w:val="both"/>
        <w:rPr>
          <w:rFonts w:ascii="TitilliumText25L" w:eastAsia="TitilliumText25L" w:hAnsi="TitilliumText25L" w:cs="TitilliumText25L"/>
          <w:color w:val="231F20"/>
        </w:rPr>
      </w:pPr>
      <w:r>
        <w:rPr>
          <w:rFonts w:ascii="TitilliumText25L" w:eastAsia="TitilliumText25L" w:hAnsi="TitilliumText25L" w:cs="TitilliumText25L"/>
          <w:color w:val="231F20"/>
        </w:rPr>
        <w:t xml:space="preserve">5.     </w:t>
      </w:r>
      <w:r w:rsidR="00DB484E">
        <w:rPr>
          <w:rFonts w:ascii="TitilliumText25L" w:eastAsia="TitilliumText25L" w:hAnsi="TitilliumText25L" w:cs="TitilliumText25L"/>
          <w:color w:val="231F20"/>
        </w:rPr>
        <w:t>Neither preoperative point-of-care (POC) global coagulation assays nor POC INR</w:t>
      </w:r>
      <w:r w:rsidR="00C26CCE">
        <w:rPr>
          <w:rFonts w:ascii="TitilliumText25L" w:eastAsia="TitilliumText25L" w:hAnsi="TitilliumText25L" w:cs="TitilliumText25L"/>
          <w:color w:val="231F20"/>
        </w:rPr>
        <w:t xml:space="preserve"> </w:t>
      </w:r>
      <w:r w:rsidR="00DB484E">
        <w:rPr>
          <w:rFonts w:ascii="TitilliumText25L" w:eastAsia="TitilliumText25L" w:hAnsi="TitilliumText25L" w:cs="TitilliumText25L"/>
          <w:color w:val="231F20"/>
        </w:rPr>
        <w:t>measurement predict bleeding tendency;</w:t>
      </w:r>
    </w:p>
    <w:p w:rsidR="00DB484E" w:rsidRDefault="00DB484E" w:rsidP="002E5B9B">
      <w:pPr>
        <w:spacing w:before="5" w:after="0" w:line="14" w:lineRule="atLeast"/>
        <w:ind w:left="426"/>
        <w:rPr>
          <w:sz w:val="11"/>
          <w:szCs w:val="11"/>
        </w:rPr>
      </w:pPr>
    </w:p>
    <w:p w:rsidR="00DB484E" w:rsidRPr="00B91746" w:rsidRDefault="00DB484E" w:rsidP="002E5B9B">
      <w:pPr>
        <w:spacing w:after="0" w:line="14" w:lineRule="atLeast"/>
        <w:ind w:left="1134" w:right="-23" w:hanging="708"/>
        <w:jc w:val="both"/>
        <w:rPr>
          <w:rFonts w:ascii="TitilliumText25L" w:eastAsia="TitilliumText25L" w:hAnsi="TitilliumText25L" w:cs="TitilliumText25L"/>
          <w:color w:val="231F20"/>
        </w:rPr>
      </w:pPr>
      <w:r>
        <w:rPr>
          <w:rFonts w:ascii="TitilliumText25L" w:eastAsia="TitilliumText25L" w:hAnsi="TitilliumText25L" w:cs="TitilliumText25L"/>
          <w:color w:val="231F20"/>
        </w:rPr>
        <w:t xml:space="preserve">6.   </w:t>
      </w:r>
      <w:r w:rsidR="00B91746">
        <w:rPr>
          <w:rFonts w:ascii="TitilliumText25L" w:eastAsia="TitilliumText25L" w:hAnsi="TitilliumText25L" w:cs="TitilliumText25L"/>
          <w:color w:val="231F20"/>
        </w:rPr>
        <w:tab/>
      </w:r>
      <w:r>
        <w:rPr>
          <w:rFonts w:ascii="TitilliumText25L" w:eastAsia="TitilliumText25L" w:hAnsi="TitilliumText25L" w:cs="TitilliumText25L"/>
          <w:color w:val="231F20"/>
        </w:rPr>
        <w:t>Refer for specialist and/or multidisciplinary assessment and management, patients:</w:t>
      </w:r>
    </w:p>
    <w:p w:rsidR="00DB484E" w:rsidRDefault="00DB484E" w:rsidP="002E5B9B">
      <w:pPr>
        <w:spacing w:before="5" w:after="0" w:line="14" w:lineRule="atLeast"/>
        <w:ind w:left="426"/>
        <w:rPr>
          <w:sz w:val="11"/>
          <w:szCs w:val="11"/>
        </w:rPr>
      </w:pPr>
    </w:p>
    <w:p w:rsidR="00DB484E" w:rsidRPr="00B91746" w:rsidRDefault="00DB484E" w:rsidP="002E5B9B">
      <w:pPr>
        <w:pStyle w:val="ListParagraph"/>
        <w:numPr>
          <w:ilvl w:val="0"/>
          <w:numId w:val="9"/>
        </w:numPr>
        <w:spacing w:after="0" w:line="300" w:lineRule="auto"/>
        <w:ind w:left="1559" w:right="-23" w:hanging="414"/>
        <w:rPr>
          <w:rFonts w:ascii="TitilliumText25L" w:eastAsia="TitilliumText25L" w:hAnsi="TitilliumText25L" w:cs="TitilliumText25L"/>
          <w:color w:val="231F20"/>
        </w:rPr>
      </w:pPr>
      <w:r>
        <w:rPr>
          <w:rFonts w:ascii="TitilliumText25L" w:eastAsia="TitilliumText25L" w:hAnsi="TitilliumText25L" w:cs="TitilliumText25L"/>
          <w:color w:val="231F20"/>
        </w:rPr>
        <w:t>undergoing high risk procedures;</w:t>
      </w:r>
    </w:p>
    <w:p w:rsidR="00DB484E" w:rsidRPr="00B91746" w:rsidRDefault="00DB484E" w:rsidP="002E5B9B">
      <w:pPr>
        <w:pStyle w:val="ListParagraph"/>
        <w:numPr>
          <w:ilvl w:val="0"/>
          <w:numId w:val="9"/>
        </w:numPr>
        <w:spacing w:after="0" w:line="300" w:lineRule="auto"/>
        <w:ind w:left="1559" w:right="-23" w:hanging="414"/>
        <w:rPr>
          <w:rFonts w:ascii="TitilliumText25L" w:eastAsia="TitilliumText25L" w:hAnsi="TitilliumText25L" w:cs="TitilliumText25L"/>
          <w:color w:val="231F20"/>
        </w:rPr>
      </w:pPr>
      <w:r>
        <w:rPr>
          <w:rFonts w:ascii="TitilliumText25L" w:eastAsia="TitilliumText25L" w:hAnsi="TitilliumText25L" w:cs="TitilliumText25L"/>
          <w:color w:val="231F20"/>
        </w:rPr>
        <w:t xml:space="preserve">with haemostatic abnormalities associated with comorbid illness; </w:t>
      </w:r>
    </w:p>
    <w:p w:rsidR="00DB484E" w:rsidRPr="00B91746" w:rsidRDefault="00DB484E" w:rsidP="002E5B9B">
      <w:pPr>
        <w:pStyle w:val="ListParagraph"/>
        <w:numPr>
          <w:ilvl w:val="0"/>
          <w:numId w:val="9"/>
        </w:numPr>
        <w:spacing w:after="0" w:line="300" w:lineRule="auto"/>
        <w:ind w:left="1559" w:right="-23" w:hanging="414"/>
        <w:rPr>
          <w:rFonts w:ascii="TitilliumText25L" w:eastAsia="TitilliumText25L" w:hAnsi="TitilliumText25L" w:cs="TitilliumText25L"/>
          <w:color w:val="231F20"/>
        </w:rPr>
      </w:pPr>
      <w:r>
        <w:rPr>
          <w:rFonts w:ascii="TitilliumText25L" w:eastAsia="TitilliumText25L" w:hAnsi="TitilliumText25L" w:cs="TitilliumText25L"/>
          <w:color w:val="231F20"/>
        </w:rPr>
        <w:t xml:space="preserve">on multiple antiplatelet and/or anticoagulant therapy; and those </w:t>
      </w:r>
    </w:p>
    <w:p w:rsidR="00DB484E" w:rsidRPr="00B91746" w:rsidRDefault="00DB484E" w:rsidP="002E5B9B">
      <w:pPr>
        <w:pStyle w:val="ListParagraph"/>
        <w:numPr>
          <w:ilvl w:val="0"/>
          <w:numId w:val="9"/>
        </w:numPr>
        <w:spacing w:after="0" w:line="300" w:lineRule="auto"/>
        <w:ind w:left="1559" w:right="-23" w:hanging="414"/>
        <w:rPr>
          <w:rFonts w:ascii="TitilliumText25L" w:eastAsia="TitilliumText25L" w:hAnsi="TitilliumText25L" w:cs="TitilliumText25L"/>
          <w:color w:val="231F20"/>
        </w:rPr>
      </w:pPr>
      <w:proofErr w:type="gramStart"/>
      <w:r>
        <w:rPr>
          <w:rFonts w:ascii="TitilliumText25L" w:eastAsia="TitilliumText25L" w:hAnsi="TitilliumText25L" w:cs="TitilliumText25L"/>
          <w:color w:val="231F20"/>
        </w:rPr>
        <w:t>with</w:t>
      </w:r>
      <w:proofErr w:type="gramEnd"/>
      <w:r>
        <w:rPr>
          <w:rFonts w:ascii="TitilliumText25L" w:eastAsia="TitilliumText25L" w:hAnsi="TitilliumText25L" w:cs="TitilliumText25L"/>
          <w:color w:val="231F20"/>
        </w:rPr>
        <w:t xml:space="preserve"> known congenital bleeding disorders.</w:t>
      </w:r>
    </w:p>
    <w:p w:rsidR="00DB484E" w:rsidRDefault="00DB484E" w:rsidP="002E5B9B">
      <w:pPr>
        <w:spacing w:before="5" w:after="0" w:line="14" w:lineRule="atLeast"/>
        <w:ind w:left="426"/>
        <w:rPr>
          <w:sz w:val="11"/>
          <w:szCs w:val="11"/>
        </w:rPr>
      </w:pPr>
    </w:p>
    <w:p w:rsidR="00DB484E" w:rsidRDefault="00DB484E" w:rsidP="002E5B9B">
      <w:pPr>
        <w:spacing w:after="0" w:line="14" w:lineRule="atLeast"/>
        <w:ind w:left="426" w:right="1217"/>
        <w:jc w:val="both"/>
        <w:rPr>
          <w:rFonts w:ascii="TitilliumText25L" w:eastAsia="TitilliumText25L" w:hAnsi="TitilliumText25L" w:cs="TitilliumText25L"/>
        </w:rPr>
      </w:pPr>
      <w:r>
        <w:rPr>
          <w:rFonts w:ascii="TitilliumText25L" w:eastAsia="TitilliumText25L" w:hAnsi="TitilliumText25L" w:cs="TitilliumText25L"/>
          <w:color w:val="231F20"/>
        </w:rPr>
        <w:t>Details regarding these steps are outlined in the following pages. Considerations for incorporation of bleeding risk assessment into clinical practice using clinical practice improvement (CPI) methodologies can be found in Appendix 1.</w:t>
      </w:r>
    </w:p>
    <w:p w:rsidR="00746F13" w:rsidRPr="00BA11AC" w:rsidRDefault="00746F13" w:rsidP="00DB484E">
      <w:pPr>
        <w:ind w:left="426"/>
      </w:pPr>
    </w:p>
    <w:sectPr w:rsidR="00746F13" w:rsidRPr="00BA11AC" w:rsidSect="00A20B5B">
      <w:footerReference w:type="default" r:id="rId1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AC" w:rsidRDefault="00BA11AC" w:rsidP="00856708">
      <w:pPr>
        <w:spacing w:after="0"/>
      </w:pPr>
      <w:r>
        <w:separator/>
      </w:r>
    </w:p>
  </w:endnote>
  <w:endnote w:type="continuationSeparator" w:id="0">
    <w:p w:rsidR="00BA11AC" w:rsidRDefault="00BA11AC"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tilliumText25L">
    <w:altName w:val="TitilliumText25L"/>
    <w:panose1 w:val="02000000000000000000"/>
    <w:charset w:val="00"/>
    <w:family w:val="modern"/>
    <w:notTrueType/>
    <w:pitch w:val="variable"/>
    <w:sig w:usb0="A00000EF" w:usb1="0000004B" w:usb2="00000000" w:usb3="00000000" w:csb0="000001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00A20B5B">
      <w:rPr>
        <w:sz w:val="20"/>
        <w:szCs w:val="20"/>
      </w:rPr>
      <w:t xml:space="preserve">                          </w:t>
    </w:r>
    <w:r w:rsidR="00A20B5B" w:rsidRPr="00A20B5B">
      <w:rPr>
        <w:sz w:val="20"/>
        <w:szCs w:val="20"/>
      </w:rPr>
      <w:t xml:space="preserve">PREOPERATIVE BLEEDING RISK ASSESSMENT </w:t>
    </w:r>
    <w:r w:rsidR="00A20B5B" w:rsidRPr="00A20B5B">
      <w:rPr>
        <w:color w:val="C00000"/>
        <w:sz w:val="20"/>
        <w:szCs w:val="20"/>
      </w:rPr>
      <w:t>JUNE 2015</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256CCD">
      <w:rPr>
        <w:noProof/>
        <w:sz w:val="20"/>
        <w:szCs w:val="20"/>
      </w:rPr>
      <w:t>1</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AC" w:rsidRDefault="00BA11AC" w:rsidP="00856708">
      <w:pPr>
        <w:spacing w:after="0"/>
      </w:pPr>
      <w:r>
        <w:separator/>
      </w:r>
    </w:p>
  </w:footnote>
  <w:footnote w:type="continuationSeparator" w:id="0">
    <w:p w:rsidR="00BA11AC" w:rsidRDefault="00BA11AC"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58C"/>
    <w:multiLevelType w:val="hybridMultilevel"/>
    <w:tmpl w:val="39F28ACA"/>
    <w:lvl w:ilvl="0" w:tplc="8B5AA5DE">
      <w:numFmt w:val="bullet"/>
      <w:lvlText w:val="•"/>
      <w:lvlJc w:val="left"/>
      <w:pPr>
        <w:ind w:left="1212" w:hanging="360"/>
      </w:pPr>
      <w:rPr>
        <w:rFonts w:ascii="TitilliumText25L" w:eastAsia="TitilliumText25L" w:hAnsi="TitilliumText25L" w:cs="TitilliumText25L" w:hint="default"/>
        <w:color w:val="231F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293C1E2A"/>
    <w:multiLevelType w:val="hybridMultilevel"/>
    <w:tmpl w:val="B824AC4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B312EB"/>
    <w:multiLevelType w:val="hybridMultilevel"/>
    <w:tmpl w:val="0764EB7A"/>
    <w:lvl w:ilvl="0" w:tplc="DD128868">
      <w:start w:val="1"/>
      <w:numFmt w:val="bullet"/>
      <w:lvlText w:val=""/>
      <w:lvlJc w:val="left"/>
      <w:pPr>
        <w:ind w:left="1080" w:hanging="360"/>
      </w:pPr>
      <w:rPr>
        <w:rFonts w:ascii="Wingdings" w:hAnsi="Wingdings" w:hint="default"/>
        <w:color w:val="C60C3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DA1C17"/>
    <w:multiLevelType w:val="hybridMultilevel"/>
    <w:tmpl w:val="AAE6B8E8"/>
    <w:lvl w:ilvl="0" w:tplc="8B5AA5DE">
      <w:numFmt w:val="bullet"/>
      <w:lvlText w:val="•"/>
      <w:lvlJc w:val="left"/>
      <w:pPr>
        <w:ind w:left="786" w:hanging="360"/>
      </w:pPr>
      <w:rPr>
        <w:rFonts w:ascii="TitilliumText25L" w:eastAsia="TitilliumText25L" w:hAnsi="TitilliumText25L" w:cs="TitilliumText25L" w:hint="default"/>
        <w:color w:val="231F2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5"/>
  </w:num>
  <w:num w:numId="4">
    <w:abstractNumId w:val="7"/>
  </w:num>
  <w:num w:numId="5">
    <w:abstractNumId w:val="2"/>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AC"/>
    <w:rsid w:val="00036EDC"/>
    <w:rsid w:val="002537F2"/>
    <w:rsid w:val="002551F5"/>
    <w:rsid w:val="00256111"/>
    <w:rsid w:val="00256CCD"/>
    <w:rsid w:val="00295CD3"/>
    <w:rsid w:val="002E5B9B"/>
    <w:rsid w:val="003D27F1"/>
    <w:rsid w:val="00436467"/>
    <w:rsid w:val="004D4636"/>
    <w:rsid w:val="00540020"/>
    <w:rsid w:val="00746F13"/>
    <w:rsid w:val="007575EB"/>
    <w:rsid w:val="00856708"/>
    <w:rsid w:val="00893E0A"/>
    <w:rsid w:val="00951B85"/>
    <w:rsid w:val="009E38CC"/>
    <w:rsid w:val="00A20B5B"/>
    <w:rsid w:val="00AB1252"/>
    <w:rsid w:val="00B3726E"/>
    <w:rsid w:val="00B91746"/>
    <w:rsid w:val="00BA11AC"/>
    <w:rsid w:val="00C26CCE"/>
    <w:rsid w:val="00DB484E"/>
    <w:rsid w:val="00E02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11"/>
    <w:pPr>
      <w:widowControl w:val="0"/>
    </w:pPr>
    <w:rPr>
      <w:lang w:val="en-US"/>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widowControl/>
      <w:spacing w:before="120" w:after="120" w:line="240" w:lineRule="auto"/>
      <w:outlineLvl w:val="2"/>
    </w:pPr>
    <w:rPr>
      <w:rFonts w:ascii="Arial" w:eastAsia="Dotum" w:hAnsi="Arial" w:cs="Arial"/>
      <w:color w:val="C60C30"/>
      <w:sz w:val="28"/>
      <w:szCs w:val="28"/>
      <w:lang w:val="en-AU"/>
    </w:rPr>
  </w:style>
  <w:style w:type="paragraph" w:styleId="Heading4">
    <w:name w:val="heading 4"/>
    <w:basedOn w:val="Normal"/>
    <w:next w:val="Normal"/>
    <w:link w:val="Heading4Char"/>
    <w:uiPriority w:val="9"/>
    <w:unhideWhenUsed/>
    <w:qFormat/>
    <w:rsid w:val="00B3726E"/>
    <w:pPr>
      <w:widowControl/>
      <w:spacing w:after="0" w:line="240" w:lineRule="auto"/>
      <w:outlineLvl w:val="3"/>
    </w:pPr>
    <w:rPr>
      <w:rFonts w:ascii="Arial" w:eastAsia="Dotum" w:hAnsi="Arial" w:cs="Arial"/>
      <w:b/>
      <w:lang w:val="en-AU"/>
    </w:rPr>
  </w:style>
  <w:style w:type="paragraph" w:styleId="Heading5">
    <w:name w:val="heading 5"/>
    <w:basedOn w:val="Normal"/>
    <w:next w:val="Normal"/>
    <w:link w:val="Heading5Char"/>
    <w:uiPriority w:val="9"/>
    <w:unhideWhenUsed/>
    <w:rsid w:val="00B3726E"/>
    <w:pPr>
      <w:keepNext/>
      <w:keepLines/>
      <w:widowControl/>
      <w:spacing w:before="200" w:after="0" w:line="240" w:lineRule="auto"/>
      <w:outlineLvl w:val="4"/>
    </w:pPr>
    <w:rPr>
      <w:rFonts w:asciiTheme="majorHAnsi" w:eastAsiaTheme="majorEastAsia" w:hAnsiTheme="majorHAnsi" w:cstheme="majorBidi"/>
      <w:color w:val="243F60" w:themeColor="accent1" w:themeShade="7F"/>
      <w:lang w:val="en-AU"/>
    </w:rPr>
  </w:style>
  <w:style w:type="paragraph" w:styleId="Heading6">
    <w:name w:val="heading 6"/>
    <w:basedOn w:val="Normal"/>
    <w:next w:val="Normal"/>
    <w:link w:val="Heading6Char"/>
    <w:uiPriority w:val="9"/>
    <w:semiHidden/>
    <w:unhideWhenUsed/>
    <w:rsid w:val="00B3726E"/>
    <w:pPr>
      <w:keepNext/>
      <w:keepLines/>
      <w:widowControl/>
      <w:numPr>
        <w:ilvl w:val="5"/>
        <w:numId w:val="1"/>
      </w:numPr>
      <w:spacing w:before="200" w:after="0" w:line="240" w:lineRule="auto"/>
      <w:outlineLvl w:val="5"/>
    </w:pPr>
    <w:rPr>
      <w:rFonts w:asciiTheme="majorHAnsi" w:eastAsiaTheme="majorEastAsia" w:hAnsiTheme="majorHAnsi" w:cstheme="majorBidi"/>
      <w:i/>
      <w:iCs/>
      <w:color w:val="243F60" w:themeColor="accent1" w:themeShade="7F"/>
      <w:lang w:val="en-AU"/>
    </w:rPr>
  </w:style>
  <w:style w:type="paragraph" w:styleId="Heading7">
    <w:name w:val="heading 7"/>
    <w:basedOn w:val="Normal"/>
    <w:next w:val="Normal"/>
    <w:link w:val="Heading7Char"/>
    <w:uiPriority w:val="9"/>
    <w:semiHidden/>
    <w:unhideWhenUsed/>
    <w:qFormat/>
    <w:rsid w:val="00B3726E"/>
    <w:pPr>
      <w:keepNext/>
      <w:keepLines/>
      <w:widowControl/>
      <w:numPr>
        <w:ilvl w:val="6"/>
        <w:numId w:val="1"/>
      </w:numPr>
      <w:spacing w:before="200" w:after="0" w:line="240" w:lineRule="auto"/>
      <w:outlineLvl w:val="6"/>
    </w:pPr>
    <w:rPr>
      <w:rFonts w:asciiTheme="majorHAnsi" w:eastAsiaTheme="majorEastAsia" w:hAnsiTheme="majorHAnsi" w:cstheme="majorBidi"/>
      <w:i/>
      <w:iCs/>
      <w:color w:val="404040" w:themeColor="text1" w:themeTint="BF"/>
      <w:lang w:val="en-AU"/>
    </w:rPr>
  </w:style>
  <w:style w:type="paragraph" w:styleId="Heading8">
    <w:name w:val="heading 8"/>
    <w:basedOn w:val="Normal"/>
    <w:next w:val="Normal"/>
    <w:link w:val="Heading8Char"/>
    <w:uiPriority w:val="9"/>
    <w:semiHidden/>
    <w:unhideWhenUsed/>
    <w:qFormat/>
    <w:rsid w:val="00B3726E"/>
    <w:pPr>
      <w:keepNext/>
      <w:keepLines/>
      <w:widowControl/>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n-AU"/>
    </w:rPr>
  </w:style>
  <w:style w:type="paragraph" w:styleId="Heading9">
    <w:name w:val="heading 9"/>
    <w:basedOn w:val="Normal"/>
    <w:next w:val="Normal"/>
    <w:link w:val="Heading9Char"/>
    <w:uiPriority w:val="9"/>
    <w:semiHidden/>
    <w:unhideWhenUsed/>
    <w:qFormat/>
    <w:rsid w:val="00B3726E"/>
    <w:pPr>
      <w:keepNext/>
      <w:keepLines/>
      <w:widowControl/>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widowControl/>
      <w:spacing w:line="240" w:lineRule="auto"/>
      <w:ind w:left="720"/>
      <w:contextualSpacing/>
    </w:pPr>
    <w:rPr>
      <w:rFonts w:ascii="Calibri" w:eastAsia="Dotum" w:hAnsi="Calibri" w:cs="Calibri"/>
      <w:lang w:val="en-AU"/>
    </w:r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widowControl/>
      <w:spacing w:before="3000" w:after="300" w:line="240" w:lineRule="auto"/>
      <w:contextualSpacing/>
    </w:pPr>
    <w:rPr>
      <w:rFonts w:ascii="Arial" w:eastAsiaTheme="majorEastAsia" w:hAnsi="Arial" w:cstheme="majorBidi"/>
      <w:caps/>
      <w:color w:val="1E1E1E"/>
      <w:spacing w:val="-22"/>
      <w:w w:val="105"/>
      <w:kern w:val="28"/>
      <w:sz w:val="80"/>
      <w:szCs w:val="80"/>
      <w:lang w:val="en-AU"/>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pPr>
      <w:widowControl/>
      <w:spacing w:line="240" w:lineRule="auto"/>
    </w:pPr>
    <w:rPr>
      <w:rFonts w:asciiTheme="majorHAnsi" w:eastAsiaTheme="majorEastAsia" w:hAnsiTheme="majorHAnsi" w:cstheme="majorBidi"/>
      <w:i/>
      <w:iCs/>
      <w:color w:val="C60C30"/>
      <w:spacing w:val="15"/>
      <w:sz w:val="24"/>
      <w:szCs w:val="24"/>
      <w:lang w:val="en-AU"/>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widowControl/>
      <w:tabs>
        <w:tab w:val="center" w:pos="4513"/>
        <w:tab w:val="right" w:pos="9026"/>
      </w:tabs>
      <w:spacing w:after="0" w:line="240" w:lineRule="auto"/>
    </w:pPr>
    <w:rPr>
      <w:rFonts w:ascii="Calibri" w:eastAsia="Dotum" w:hAnsi="Calibri" w:cs="Calibri"/>
      <w:lang w:val="en-AU"/>
    </w:r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widowControl/>
      <w:tabs>
        <w:tab w:val="center" w:pos="4513"/>
        <w:tab w:val="right" w:pos="9026"/>
      </w:tabs>
      <w:spacing w:after="0" w:line="240" w:lineRule="auto"/>
    </w:pPr>
    <w:rPr>
      <w:rFonts w:ascii="Calibri" w:eastAsia="Dotum" w:hAnsi="Calibri" w:cs="Calibri"/>
      <w:lang w:val="en-AU"/>
    </w:r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BA11AC"/>
    <w:pPr>
      <w:widowControl/>
      <w:spacing w:after="0" w:line="240" w:lineRule="auto"/>
    </w:pPr>
    <w:rPr>
      <w:rFonts w:ascii="Tahoma" w:eastAsia="Dotum" w:hAnsi="Tahoma" w:cs="Tahoma"/>
      <w:sz w:val="16"/>
      <w:szCs w:val="16"/>
      <w:lang w:val="en-AU"/>
    </w:rPr>
  </w:style>
  <w:style w:type="character" w:customStyle="1" w:styleId="BalloonTextChar">
    <w:name w:val="Balloon Text Char"/>
    <w:basedOn w:val="DefaultParagraphFont"/>
    <w:link w:val="BalloonText"/>
    <w:uiPriority w:val="99"/>
    <w:semiHidden/>
    <w:rsid w:val="00BA11AC"/>
    <w:rPr>
      <w:rFonts w:ascii="Tahoma" w:eastAsia="Dotum"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11"/>
    <w:pPr>
      <w:widowControl w:val="0"/>
    </w:pPr>
    <w:rPr>
      <w:lang w:val="en-US"/>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widowControl/>
      <w:spacing w:before="120" w:after="120" w:line="240" w:lineRule="auto"/>
      <w:outlineLvl w:val="2"/>
    </w:pPr>
    <w:rPr>
      <w:rFonts w:ascii="Arial" w:eastAsia="Dotum" w:hAnsi="Arial" w:cs="Arial"/>
      <w:color w:val="C60C30"/>
      <w:sz w:val="28"/>
      <w:szCs w:val="28"/>
      <w:lang w:val="en-AU"/>
    </w:rPr>
  </w:style>
  <w:style w:type="paragraph" w:styleId="Heading4">
    <w:name w:val="heading 4"/>
    <w:basedOn w:val="Normal"/>
    <w:next w:val="Normal"/>
    <w:link w:val="Heading4Char"/>
    <w:uiPriority w:val="9"/>
    <w:unhideWhenUsed/>
    <w:qFormat/>
    <w:rsid w:val="00B3726E"/>
    <w:pPr>
      <w:widowControl/>
      <w:spacing w:after="0" w:line="240" w:lineRule="auto"/>
      <w:outlineLvl w:val="3"/>
    </w:pPr>
    <w:rPr>
      <w:rFonts w:ascii="Arial" w:eastAsia="Dotum" w:hAnsi="Arial" w:cs="Arial"/>
      <w:b/>
      <w:lang w:val="en-AU"/>
    </w:rPr>
  </w:style>
  <w:style w:type="paragraph" w:styleId="Heading5">
    <w:name w:val="heading 5"/>
    <w:basedOn w:val="Normal"/>
    <w:next w:val="Normal"/>
    <w:link w:val="Heading5Char"/>
    <w:uiPriority w:val="9"/>
    <w:unhideWhenUsed/>
    <w:rsid w:val="00B3726E"/>
    <w:pPr>
      <w:keepNext/>
      <w:keepLines/>
      <w:widowControl/>
      <w:spacing w:before="200" w:after="0" w:line="240" w:lineRule="auto"/>
      <w:outlineLvl w:val="4"/>
    </w:pPr>
    <w:rPr>
      <w:rFonts w:asciiTheme="majorHAnsi" w:eastAsiaTheme="majorEastAsia" w:hAnsiTheme="majorHAnsi" w:cstheme="majorBidi"/>
      <w:color w:val="243F60" w:themeColor="accent1" w:themeShade="7F"/>
      <w:lang w:val="en-AU"/>
    </w:rPr>
  </w:style>
  <w:style w:type="paragraph" w:styleId="Heading6">
    <w:name w:val="heading 6"/>
    <w:basedOn w:val="Normal"/>
    <w:next w:val="Normal"/>
    <w:link w:val="Heading6Char"/>
    <w:uiPriority w:val="9"/>
    <w:semiHidden/>
    <w:unhideWhenUsed/>
    <w:rsid w:val="00B3726E"/>
    <w:pPr>
      <w:keepNext/>
      <w:keepLines/>
      <w:widowControl/>
      <w:numPr>
        <w:ilvl w:val="5"/>
        <w:numId w:val="1"/>
      </w:numPr>
      <w:spacing w:before="200" w:after="0" w:line="240" w:lineRule="auto"/>
      <w:outlineLvl w:val="5"/>
    </w:pPr>
    <w:rPr>
      <w:rFonts w:asciiTheme="majorHAnsi" w:eastAsiaTheme="majorEastAsia" w:hAnsiTheme="majorHAnsi" w:cstheme="majorBidi"/>
      <w:i/>
      <w:iCs/>
      <w:color w:val="243F60" w:themeColor="accent1" w:themeShade="7F"/>
      <w:lang w:val="en-AU"/>
    </w:rPr>
  </w:style>
  <w:style w:type="paragraph" w:styleId="Heading7">
    <w:name w:val="heading 7"/>
    <w:basedOn w:val="Normal"/>
    <w:next w:val="Normal"/>
    <w:link w:val="Heading7Char"/>
    <w:uiPriority w:val="9"/>
    <w:semiHidden/>
    <w:unhideWhenUsed/>
    <w:qFormat/>
    <w:rsid w:val="00B3726E"/>
    <w:pPr>
      <w:keepNext/>
      <w:keepLines/>
      <w:widowControl/>
      <w:numPr>
        <w:ilvl w:val="6"/>
        <w:numId w:val="1"/>
      </w:numPr>
      <w:spacing w:before="200" w:after="0" w:line="240" w:lineRule="auto"/>
      <w:outlineLvl w:val="6"/>
    </w:pPr>
    <w:rPr>
      <w:rFonts w:asciiTheme="majorHAnsi" w:eastAsiaTheme="majorEastAsia" w:hAnsiTheme="majorHAnsi" w:cstheme="majorBidi"/>
      <w:i/>
      <w:iCs/>
      <w:color w:val="404040" w:themeColor="text1" w:themeTint="BF"/>
      <w:lang w:val="en-AU"/>
    </w:rPr>
  </w:style>
  <w:style w:type="paragraph" w:styleId="Heading8">
    <w:name w:val="heading 8"/>
    <w:basedOn w:val="Normal"/>
    <w:next w:val="Normal"/>
    <w:link w:val="Heading8Char"/>
    <w:uiPriority w:val="9"/>
    <w:semiHidden/>
    <w:unhideWhenUsed/>
    <w:qFormat/>
    <w:rsid w:val="00B3726E"/>
    <w:pPr>
      <w:keepNext/>
      <w:keepLines/>
      <w:widowControl/>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n-AU"/>
    </w:rPr>
  </w:style>
  <w:style w:type="paragraph" w:styleId="Heading9">
    <w:name w:val="heading 9"/>
    <w:basedOn w:val="Normal"/>
    <w:next w:val="Normal"/>
    <w:link w:val="Heading9Char"/>
    <w:uiPriority w:val="9"/>
    <w:semiHidden/>
    <w:unhideWhenUsed/>
    <w:qFormat/>
    <w:rsid w:val="00B3726E"/>
    <w:pPr>
      <w:keepNext/>
      <w:keepLines/>
      <w:widowControl/>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widowControl/>
      <w:spacing w:line="240" w:lineRule="auto"/>
      <w:ind w:left="720"/>
      <w:contextualSpacing/>
    </w:pPr>
    <w:rPr>
      <w:rFonts w:ascii="Calibri" w:eastAsia="Dotum" w:hAnsi="Calibri" w:cs="Calibri"/>
      <w:lang w:val="en-AU"/>
    </w:r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widowControl/>
      <w:spacing w:before="3000" w:after="300" w:line="240" w:lineRule="auto"/>
      <w:contextualSpacing/>
    </w:pPr>
    <w:rPr>
      <w:rFonts w:ascii="Arial" w:eastAsiaTheme="majorEastAsia" w:hAnsi="Arial" w:cstheme="majorBidi"/>
      <w:caps/>
      <w:color w:val="1E1E1E"/>
      <w:spacing w:val="-22"/>
      <w:w w:val="105"/>
      <w:kern w:val="28"/>
      <w:sz w:val="80"/>
      <w:szCs w:val="80"/>
      <w:lang w:val="en-AU"/>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pPr>
      <w:widowControl/>
      <w:spacing w:line="240" w:lineRule="auto"/>
    </w:pPr>
    <w:rPr>
      <w:rFonts w:asciiTheme="majorHAnsi" w:eastAsiaTheme="majorEastAsia" w:hAnsiTheme="majorHAnsi" w:cstheme="majorBidi"/>
      <w:i/>
      <w:iCs/>
      <w:color w:val="C60C30"/>
      <w:spacing w:val="15"/>
      <w:sz w:val="24"/>
      <w:szCs w:val="24"/>
      <w:lang w:val="en-AU"/>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widowControl/>
      <w:tabs>
        <w:tab w:val="center" w:pos="4513"/>
        <w:tab w:val="right" w:pos="9026"/>
      </w:tabs>
      <w:spacing w:after="0" w:line="240" w:lineRule="auto"/>
    </w:pPr>
    <w:rPr>
      <w:rFonts w:ascii="Calibri" w:eastAsia="Dotum" w:hAnsi="Calibri" w:cs="Calibri"/>
      <w:lang w:val="en-AU"/>
    </w:r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widowControl/>
      <w:tabs>
        <w:tab w:val="center" w:pos="4513"/>
        <w:tab w:val="right" w:pos="9026"/>
      </w:tabs>
      <w:spacing w:after="0" w:line="240" w:lineRule="auto"/>
    </w:pPr>
    <w:rPr>
      <w:rFonts w:ascii="Calibri" w:eastAsia="Dotum" w:hAnsi="Calibri" w:cs="Calibri"/>
      <w:lang w:val="en-AU"/>
    </w:r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BA11AC"/>
    <w:pPr>
      <w:widowControl/>
      <w:spacing w:after="0" w:line="240" w:lineRule="auto"/>
    </w:pPr>
    <w:rPr>
      <w:rFonts w:ascii="Tahoma" w:eastAsia="Dotum" w:hAnsi="Tahoma" w:cs="Tahoma"/>
      <w:sz w:val="16"/>
      <w:szCs w:val="16"/>
      <w:lang w:val="en-AU"/>
    </w:rPr>
  </w:style>
  <w:style w:type="character" w:customStyle="1" w:styleId="BalloonTextChar">
    <w:name w:val="Balloon Text Char"/>
    <w:basedOn w:val="DefaultParagraphFont"/>
    <w:link w:val="BalloonText"/>
    <w:uiPriority w:val="99"/>
    <w:semiHidden/>
    <w:rsid w:val="00BA11AC"/>
    <w:rPr>
      <w:rFonts w:ascii="Tahoma" w:eastAsia="Dotum"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matology.org/Clinicians/Guidelines-Quality/Quick-Ref/528.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1539</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Rennay</dc:creator>
  <cp:lastModifiedBy>Little, Rennay</cp:lastModifiedBy>
  <cp:revision>2</cp:revision>
  <cp:lastPrinted>2015-07-20T01:29:00Z</cp:lastPrinted>
  <dcterms:created xsi:type="dcterms:W3CDTF">2015-07-20T03:03:00Z</dcterms:created>
  <dcterms:modified xsi:type="dcterms:W3CDTF">2015-07-20T03:03:00Z</dcterms:modified>
</cp:coreProperties>
</file>